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42280">
      <w:pPr>
        <w:keepNext w:val="0"/>
        <w:keepLines w:val="0"/>
        <w:pageBreakBefore w:val="0"/>
        <w:widowControl w:val="0"/>
        <w:kinsoku/>
        <w:wordWrap w:val="0"/>
        <w:overflowPunct/>
        <w:topLinePunct w:val="0"/>
        <w:autoSpaceDE/>
        <w:autoSpaceDN/>
        <w:bidi w:val="0"/>
        <w:adjustRightInd/>
        <w:snapToGrid/>
        <w:spacing w:before="157" w:beforeLines="50" w:after="157" w:afterLines="50"/>
        <w:jc w:val="right"/>
        <w:textAlignment w:val="auto"/>
        <w:outlineLvl w:val="9"/>
        <w:rPr>
          <w:rFonts w:hint="eastAsia" w:ascii="宋体" w:hAnsi="宋体" w:eastAsia="宋体" w:cs="宋体"/>
          <w:b/>
          <w:bCs/>
          <w:color w:val="auto"/>
          <w:sz w:val="24"/>
          <w:szCs w:val="24"/>
          <w:highlight w:val="none"/>
          <w:shd w:val="clear" w:color="auto" w:fill="auto"/>
          <w:lang w:eastAsia="zh-CN"/>
        </w:rPr>
      </w:pPr>
    </w:p>
    <w:p w14:paraId="36EFE4AA">
      <w:pPr>
        <w:keepNext w:val="0"/>
        <w:keepLines w:val="0"/>
        <w:pageBreakBefore w:val="0"/>
        <w:widowControl w:val="0"/>
        <w:kinsoku/>
        <w:wordWrap w:val="0"/>
        <w:overflowPunct/>
        <w:topLinePunct w:val="0"/>
        <w:autoSpaceDE/>
        <w:autoSpaceDN/>
        <w:bidi w:val="0"/>
        <w:adjustRightInd/>
        <w:snapToGrid/>
        <w:jc w:val="right"/>
        <w:textAlignment w:val="auto"/>
        <w:outlineLvl w:val="9"/>
        <w:rPr>
          <w:rFonts w:hint="eastAsia" w:ascii="宋体" w:hAnsi="宋体" w:eastAsia="宋体" w:cs="宋体"/>
          <w:color w:val="auto"/>
          <w:highlight w:val="none"/>
          <w:shd w:val="clear" w:color="auto" w:fill="auto"/>
          <w:lang w:eastAsia="zh-CN"/>
        </w:rPr>
      </w:pPr>
      <w:r>
        <w:rPr>
          <w:rFonts w:hint="eastAsia" w:ascii="宋体" w:hAnsi="宋体" w:eastAsia="宋体" w:cs="宋体"/>
          <w:b/>
          <w:bCs/>
          <w:color w:val="auto"/>
          <w:sz w:val="28"/>
          <w:szCs w:val="28"/>
          <w:highlight w:val="none"/>
          <w:shd w:val="clear" w:color="auto" w:fill="auto"/>
          <w:lang w:eastAsia="zh-CN"/>
        </w:rPr>
        <w:t>项目编号：JHLCZB-2026-0104</w:t>
      </w:r>
    </w:p>
    <w:p w14:paraId="4C9A2DC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48"/>
          <w:szCs w:val="48"/>
          <w:highlight w:val="none"/>
          <w:shd w:val="clear" w:color="auto" w:fill="auto"/>
          <w:lang w:eastAsia="zh-CN"/>
        </w:rPr>
      </w:pPr>
    </w:p>
    <w:p w14:paraId="0579D1B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48"/>
          <w:szCs w:val="48"/>
          <w:highlight w:val="none"/>
          <w:shd w:val="clear" w:color="auto" w:fill="auto"/>
          <w:lang w:eastAsia="zh-CN"/>
        </w:rPr>
      </w:pPr>
      <w:r>
        <w:rPr>
          <w:rFonts w:hint="eastAsia" w:ascii="宋体" w:hAnsi="宋体" w:eastAsia="宋体" w:cs="宋体"/>
          <w:b/>
          <w:bCs/>
          <w:color w:val="auto"/>
          <w:sz w:val="48"/>
          <w:szCs w:val="48"/>
          <w:highlight w:val="none"/>
          <w:shd w:val="clear" w:color="auto" w:fill="auto"/>
          <w:lang w:eastAsia="zh-CN"/>
        </w:rPr>
        <w:t>聊城市退役军人医院</w:t>
      </w:r>
      <w:r>
        <w:rPr>
          <w:rFonts w:hint="eastAsia" w:ascii="宋体" w:hAnsi="宋体" w:eastAsia="宋体" w:cs="宋体"/>
          <w:b/>
          <w:bCs/>
          <w:color w:val="auto"/>
          <w:sz w:val="48"/>
          <w:szCs w:val="48"/>
          <w:highlight w:val="none"/>
          <w:shd w:val="clear" w:color="auto" w:fill="auto"/>
          <w:lang w:val="en-US" w:eastAsia="zh-CN"/>
        </w:rPr>
        <w:t>优抚病房楼</w:t>
      </w:r>
      <w:r>
        <w:rPr>
          <w:rFonts w:hint="eastAsia" w:ascii="宋体" w:hAnsi="宋体" w:eastAsia="宋体" w:cs="宋体"/>
          <w:b/>
          <w:bCs/>
          <w:color w:val="auto"/>
          <w:sz w:val="48"/>
          <w:szCs w:val="48"/>
          <w:highlight w:val="none"/>
          <w:shd w:val="clear" w:color="auto" w:fill="auto"/>
          <w:lang w:eastAsia="zh-CN"/>
        </w:rPr>
        <w:t>监控</w:t>
      </w:r>
      <w:r>
        <w:rPr>
          <w:rFonts w:hint="eastAsia" w:ascii="宋体" w:hAnsi="宋体" w:eastAsia="宋体" w:cs="宋体"/>
          <w:b/>
          <w:bCs/>
          <w:color w:val="auto"/>
          <w:sz w:val="48"/>
          <w:szCs w:val="48"/>
          <w:highlight w:val="none"/>
          <w:shd w:val="clear" w:color="auto" w:fill="auto"/>
          <w:lang w:val="en-US" w:eastAsia="zh-CN"/>
        </w:rPr>
        <w:t>采购安装</w:t>
      </w:r>
      <w:r>
        <w:rPr>
          <w:rFonts w:hint="eastAsia" w:ascii="宋体" w:hAnsi="宋体" w:eastAsia="宋体" w:cs="宋体"/>
          <w:b/>
          <w:bCs/>
          <w:color w:val="auto"/>
          <w:sz w:val="48"/>
          <w:szCs w:val="48"/>
          <w:highlight w:val="none"/>
          <w:shd w:val="clear" w:color="auto" w:fill="auto"/>
          <w:lang w:eastAsia="zh-CN"/>
        </w:rPr>
        <w:t>项目</w:t>
      </w:r>
    </w:p>
    <w:p w14:paraId="26CD6FD3">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9"/>
        <w:rPr>
          <w:rFonts w:hint="eastAsia" w:ascii="宋体" w:hAnsi="宋体" w:eastAsia="宋体" w:cs="宋体"/>
          <w:b/>
          <w:bCs/>
          <w:color w:val="auto"/>
          <w:sz w:val="36"/>
          <w:szCs w:val="36"/>
          <w:highlight w:val="none"/>
          <w:shd w:val="clear" w:color="auto" w:fill="auto"/>
          <w:lang w:eastAsia="zh-CN"/>
        </w:rPr>
      </w:pPr>
      <w:r>
        <w:rPr>
          <w:rFonts w:hint="eastAsia" w:ascii="宋体" w:hAnsi="宋体" w:eastAsia="宋体" w:cs="宋体"/>
          <w:b/>
          <w:bCs/>
          <w:color w:val="auto"/>
          <w:sz w:val="36"/>
          <w:szCs w:val="36"/>
          <w:highlight w:val="none"/>
          <w:shd w:val="clear" w:color="auto" w:fill="auto"/>
          <w:lang w:eastAsia="zh-CN"/>
        </w:rPr>
        <w:t>（货物）</w:t>
      </w:r>
    </w:p>
    <w:p w14:paraId="1389CF32">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9"/>
        <w:rPr>
          <w:rFonts w:hint="eastAsia" w:ascii="宋体" w:hAnsi="宋体" w:eastAsia="宋体" w:cs="宋体"/>
          <w:b/>
          <w:bCs/>
          <w:color w:val="auto"/>
          <w:sz w:val="72"/>
          <w:szCs w:val="72"/>
          <w:highlight w:val="none"/>
          <w:shd w:val="clear" w:color="auto" w:fill="auto"/>
          <w:lang w:val="en-US" w:eastAsia="zh-CN"/>
        </w:rPr>
      </w:pPr>
      <w:r>
        <w:rPr>
          <w:rFonts w:hint="eastAsia" w:ascii="宋体" w:hAnsi="宋体" w:eastAsia="宋体" w:cs="宋体"/>
          <w:b/>
          <w:bCs/>
          <w:color w:val="auto"/>
          <w:sz w:val="72"/>
          <w:szCs w:val="72"/>
          <w:highlight w:val="none"/>
          <w:shd w:val="clear" w:color="auto" w:fill="auto"/>
          <w:lang w:val="en-US" w:eastAsia="zh-CN"/>
        </w:rPr>
        <w:t>竞争性磋商文件</w:t>
      </w:r>
    </w:p>
    <w:p w14:paraId="6CFDF818">
      <w:pPr>
        <w:jc w:val="center"/>
        <w:rPr>
          <w:rFonts w:hint="eastAsia" w:ascii="宋体" w:hAnsi="宋体" w:eastAsia="宋体" w:cs="宋体"/>
          <w:color w:val="auto"/>
          <w:sz w:val="30"/>
          <w:szCs w:val="30"/>
          <w:highlight w:val="none"/>
          <w:shd w:val="clear" w:color="auto" w:fill="auto"/>
          <w:lang w:val="en-US" w:eastAsia="zh-CN"/>
        </w:rPr>
      </w:pPr>
      <w:r>
        <w:rPr>
          <w:rFonts w:hint="eastAsia" w:ascii="宋体" w:hAnsi="宋体" w:eastAsia="宋体" w:cs="宋体"/>
          <w:color w:val="auto"/>
          <w:highlight w:val="none"/>
          <w:shd w:val="clear" w:color="auto" w:fill="auto"/>
        </w:rPr>
        <w:drawing>
          <wp:anchor distT="0" distB="0" distL="114300" distR="114300" simplePos="0" relativeHeight="251659264" behindDoc="0" locked="0" layoutInCell="1" allowOverlap="1">
            <wp:simplePos x="0" y="0"/>
            <wp:positionH relativeFrom="column">
              <wp:posOffset>1499235</wp:posOffset>
            </wp:positionH>
            <wp:positionV relativeFrom="paragraph">
              <wp:posOffset>17780</wp:posOffset>
            </wp:positionV>
            <wp:extent cx="2762250" cy="3133725"/>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2762250" cy="3133725"/>
                    </a:xfrm>
                    <a:prstGeom prst="rect">
                      <a:avLst/>
                    </a:prstGeom>
                    <a:noFill/>
                    <a:ln>
                      <a:noFill/>
                    </a:ln>
                  </pic:spPr>
                </pic:pic>
              </a:graphicData>
            </a:graphic>
          </wp:anchor>
        </w:drawing>
      </w:r>
    </w:p>
    <w:p w14:paraId="5DAC196D">
      <w:pPr>
        <w:rPr>
          <w:rFonts w:hint="eastAsia" w:ascii="宋体" w:hAnsi="宋体" w:eastAsia="宋体" w:cs="宋体"/>
          <w:color w:val="auto"/>
          <w:sz w:val="30"/>
          <w:szCs w:val="30"/>
          <w:highlight w:val="none"/>
          <w:shd w:val="clear" w:color="auto" w:fill="auto"/>
          <w:lang w:val="en-US" w:eastAsia="zh-CN"/>
        </w:rPr>
      </w:pPr>
    </w:p>
    <w:p w14:paraId="00F64CF8">
      <w:pPr>
        <w:keepNext w:val="0"/>
        <w:keepLines w:val="0"/>
        <w:pageBreakBefore w:val="0"/>
        <w:widowControl w:val="0"/>
        <w:kinsoku/>
        <w:wordWrap/>
        <w:overflowPunct/>
        <w:topLinePunct w:val="0"/>
        <w:autoSpaceDE/>
        <w:autoSpaceDN/>
        <w:bidi w:val="0"/>
        <w:adjustRightInd/>
        <w:snapToGrid/>
        <w:spacing w:line="360" w:lineRule="auto"/>
        <w:ind w:firstLine="1405" w:firstLineChars="500"/>
        <w:textAlignment w:val="auto"/>
        <w:outlineLvl w:val="9"/>
        <w:rPr>
          <w:rFonts w:hint="eastAsia" w:ascii="宋体" w:hAnsi="宋体" w:eastAsia="宋体" w:cs="宋体"/>
          <w:b/>
          <w:bCs/>
          <w:color w:val="auto"/>
          <w:sz w:val="28"/>
          <w:szCs w:val="28"/>
          <w:highlight w:val="none"/>
          <w:shd w:val="clear" w:color="auto" w:fill="auto"/>
          <w:lang w:val="en-US" w:eastAsia="zh-CN"/>
        </w:rPr>
      </w:pPr>
    </w:p>
    <w:p w14:paraId="1509613A">
      <w:pPr>
        <w:keepNext w:val="0"/>
        <w:keepLines w:val="0"/>
        <w:pageBreakBefore w:val="0"/>
        <w:widowControl w:val="0"/>
        <w:kinsoku/>
        <w:wordWrap/>
        <w:overflowPunct/>
        <w:topLinePunct w:val="0"/>
        <w:autoSpaceDE/>
        <w:autoSpaceDN/>
        <w:bidi w:val="0"/>
        <w:adjustRightInd/>
        <w:snapToGrid/>
        <w:spacing w:before="157" w:beforeLines="50" w:line="360" w:lineRule="auto"/>
        <w:ind w:firstLine="1405" w:firstLineChars="500"/>
        <w:textAlignment w:val="auto"/>
        <w:outlineLvl w:val="9"/>
        <w:rPr>
          <w:rFonts w:hint="eastAsia" w:ascii="宋体" w:hAnsi="宋体" w:eastAsia="宋体" w:cs="宋体"/>
          <w:b/>
          <w:bCs/>
          <w:color w:val="auto"/>
          <w:sz w:val="28"/>
          <w:szCs w:val="28"/>
          <w:highlight w:val="none"/>
          <w:shd w:val="clear" w:color="auto" w:fill="auto"/>
          <w:lang w:val="en-US" w:eastAsia="zh-CN"/>
        </w:rPr>
      </w:pPr>
    </w:p>
    <w:p w14:paraId="10274DCB">
      <w:pPr>
        <w:keepNext w:val="0"/>
        <w:keepLines w:val="0"/>
        <w:pageBreakBefore w:val="0"/>
        <w:widowControl w:val="0"/>
        <w:kinsoku/>
        <w:wordWrap/>
        <w:overflowPunct/>
        <w:topLinePunct w:val="0"/>
        <w:autoSpaceDE/>
        <w:autoSpaceDN/>
        <w:bidi w:val="0"/>
        <w:adjustRightInd/>
        <w:snapToGrid/>
        <w:spacing w:before="157" w:beforeLines="50" w:line="360" w:lineRule="auto"/>
        <w:ind w:firstLine="1405" w:firstLineChars="500"/>
        <w:textAlignment w:val="auto"/>
        <w:outlineLvl w:val="9"/>
        <w:rPr>
          <w:rFonts w:hint="eastAsia" w:ascii="宋体" w:hAnsi="宋体" w:eastAsia="宋体" w:cs="宋体"/>
          <w:b/>
          <w:bCs/>
          <w:color w:val="auto"/>
          <w:sz w:val="28"/>
          <w:szCs w:val="28"/>
          <w:highlight w:val="none"/>
          <w:shd w:val="clear" w:color="auto" w:fill="auto"/>
          <w:lang w:val="en-US" w:eastAsia="zh-CN"/>
        </w:rPr>
      </w:pPr>
    </w:p>
    <w:p w14:paraId="6C2F4DF3">
      <w:pPr>
        <w:keepNext w:val="0"/>
        <w:keepLines w:val="0"/>
        <w:pageBreakBefore w:val="0"/>
        <w:widowControl w:val="0"/>
        <w:kinsoku/>
        <w:wordWrap/>
        <w:overflowPunct/>
        <w:topLinePunct w:val="0"/>
        <w:autoSpaceDE/>
        <w:autoSpaceDN/>
        <w:bidi w:val="0"/>
        <w:adjustRightInd/>
        <w:snapToGrid/>
        <w:spacing w:before="157" w:beforeLines="50" w:line="360" w:lineRule="auto"/>
        <w:ind w:firstLine="1405" w:firstLineChars="500"/>
        <w:textAlignment w:val="auto"/>
        <w:outlineLvl w:val="9"/>
        <w:rPr>
          <w:rFonts w:hint="eastAsia" w:ascii="宋体" w:hAnsi="宋体" w:eastAsia="宋体" w:cs="宋体"/>
          <w:b/>
          <w:bCs/>
          <w:color w:val="auto"/>
          <w:sz w:val="28"/>
          <w:szCs w:val="28"/>
          <w:highlight w:val="none"/>
          <w:shd w:val="clear" w:color="auto" w:fill="auto"/>
          <w:lang w:val="en-US" w:eastAsia="zh-CN"/>
        </w:rPr>
      </w:pPr>
    </w:p>
    <w:p w14:paraId="0ABABD9C">
      <w:pPr>
        <w:keepNext w:val="0"/>
        <w:keepLines w:val="0"/>
        <w:pageBreakBefore w:val="0"/>
        <w:widowControl w:val="0"/>
        <w:kinsoku/>
        <w:wordWrap/>
        <w:overflowPunct/>
        <w:topLinePunct w:val="0"/>
        <w:autoSpaceDE/>
        <w:autoSpaceDN/>
        <w:bidi w:val="0"/>
        <w:adjustRightInd/>
        <w:snapToGrid/>
        <w:spacing w:before="157" w:beforeLines="50" w:line="360" w:lineRule="auto"/>
        <w:ind w:firstLine="1405" w:firstLineChars="500"/>
        <w:textAlignment w:val="auto"/>
        <w:outlineLvl w:val="9"/>
        <w:rPr>
          <w:rFonts w:hint="eastAsia" w:ascii="宋体" w:hAnsi="宋体" w:eastAsia="宋体" w:cs="宋体"/>
          <w:b/>
          <w:bCs/>
          <w:color w:val="auto"/>
          <w:sz w:val="28"/>
          <w:szCs w:val="28"/>
          <w:highlight w:val="none"/>
          <w:shd w:val="clear" w:color="auto" w:fill="auto"/>
          <w:lang w:val="en-US" w:eastAsia="zh-CN"/>
        </w:rPr>
      </w:pPr>
    </w:p>
    <w:p w14:paraId="04F7D7A6">
      <w:pPr>
        <w:keepNext w:val="0"/>
        <w:keepLines w:val="0"/>
        <w:pageBreakBefore w:val="0"/>
        <w:widowControl w:val="0"/>
        <w:kinsoku/>
        <w:wordWrap/>
        <w:overflowPunct/>
        <w:topLinePunct w:val="0"/>
        <w:autoSpaceDE/>
        <w:autoSpaceDN/>
        <w:bidi w:val="0"/>
        <w:adjustRightInd/>
        <w:snapToGrid/>
        <w:spacing w:before="157" w:beforeLines="50" w:line="360" w:lineRule="auto"/>
        <w:ind w:firstLine="1405" w:firstLineChars="500"/>
        <w:textAlignment w:val="auto"/>
        <w:outlineLvl w:val="9"/>
        <w:rPr>
          <w:rFonts w:hint="default" w:ascii="宋体" w:hAnsi="宋体" w:eastAsia="宋体" w:cs="宋体"/>
          <w:b/>
          <w:bCs/>
          <w:color w:val="auto"/>
          <w:sz w:val="28"/>
          <w:szCs w:val="28"/>
          <w:highlight w:val="none"/>
          <w:u w:val="single"/>
          <w:shd w:val="clear" w:color="auto" w:fill="auto"/>
          <w:lang w:val="en-US" w:eastAsia="zh-CN"/>
        </w:rPr>
      </w:pPr>
      <w:r>
        <w:rPr>
          <w:rFonts w:hint="eastAsia" w:ascii="宋体" w:hAnsi="宋体" w:eastAsia="宋体" w:cs="宋体"/>
          <w:b/>
          <w:bCs/>
          <w:color w:val="auto"/>
          <w:sz w:val="28"/>
          <w:szCs w:val="28"/>
          <w:highlight w:val="none"/>
          <w:shd w:val="clear" w:color="auto" w:fill="auto"/>
          <w:lang w:val="en-US" w:eastAsia="zh-CN"/>
        </w:rPr>
        <w:t>采购人：</w:t>
      </w:r>
      <w:r>
        <w:rPr>
          <w:rFonts w:hint="eastAsia" w:ascii="宋体" w:hAnsi="宋体" w:eastAsia="宋体" w:cs="宋体"/>
          <w:b/>
          <w:bCs/>
          <w:color w:val="auto"/>
          <w:sz w:val="28"/>
          <w:szCs w:val="28"/>
          <w:highlight w:val="none"/>
          <w:u w:val="single"/>
          <w:shd w:val="clear" w:color="auto" w:fill="auto"/>
          <w:lang w:val="en-US" w:eastAsia="zh-CN"/>
        </w:rPr>
        <w:t xml:space="preserve"> 聊城市退役军人医院 </w:t>
      </w:r>
    </w:p>
    <w:p w14:paraId="1D288D03">
      <w:pPr>
        <w:keepNext w:val="0"/>
        <w:keepLines w:val="0"/>
        <w:pageBreakBefore w:val="0"/>
        <w:widowControl w:val="0"/>
        <w:kinsoku/>
        <w:wordWrap/>
        <w:overflowPunct/>
        <w:topLinePunct w:val="0"/>
        <w:autoSpaceDE/>
        <w:autoSpaceDN/>
        <w:bidi w:val="0"/>
        <w:adjustRightInd/>
        <w:snapToGrid/>
        <w:spacing w:before="157" w:beforeLines="50" w:line="360" w:lineRule="auto"/>
        <w:ind w:firstLine="1405" w:firstLineChars="500"/>
        <w:textAlignment w:val="auto"/>
        <w:outlineLvl w:val="9"/>
        <w:rPr>
          <w:rFonts w:hint="eastAsia" w:ascii="宋体" w:hAnsi="宋体" w:eastAsia="宋体" w:cs="宋体"/>
          <w:b/>
          <w:bCs/>
          <w:color w:val="auto"/>
          <w:sz w:val="28"/>
          <w:szCs w:val="28"/>
          <w:highlight w:val="none"/>
          <w:u w:val="single"/>
          <w:shd w:val="clear" w:color="auto" w:fill="auto"/>
          <w:lang w:val="en-US" w:eastAsia="zh-CN"/>
        </w:rPr>
      </w:pPr>
      <w:r>
        <w:rPr>
          <w:rFonts w:hint="eastAsia" w:ascii="宋体" w:hAnsi="宋体" w:eastAsia="宋体" w:cs="宋体"/>
          <w:b/>
          <w:bCs/>
          <w:color w:val="auto"/>
          <w:sz w:val="28"/>
          <w:szCs w:val="28"/>
          <w:highlight w:val="none"/>
          <w:shd w:val="clear" w:color="auto" w:fill="auto"/>
          <w:lang w:val="en-US" w:eastAsia="zh-CN"/>
        </w:rPr>
        <w:t>采购代理机构：</w:t>
      </w:r>
      <w:r>
        <w:rPr>
          <w:rFonts w:hint="eastAsia" w:ascii="宋体" w:hAnsi="宋体" w:eastAsia="宋体" w:cs="宋体"/>
          <w:b/>
          <w:bCs/>
          <w:color w:val="auto"/>
          <w:sz w:val="28"/>
          <w:szCs w:val="28"/>
          <w:highlight w:val="none"/>
          <w:u w:val="single"/>
          <w:shd w:val="clear" w:color="auto" w:fill="auto"/>
          <w:lang w:val="en-US" w:eastAsia="zh-CN"/>
        </w:rPr>
        <w:t xml:space="preserve"> 疆海工程项目管理有限公司 </w:t>
      </w:r>
    </w:p>
    <w:p w14:paraId="2FA9F644">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outlineLvl w:val="9"/>
        <w:rPr>
          <w:rFonts w:hint="eastAsia"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lang w:val="en-US" w:eastAsia="zh-CN"/>
        </w:rPr>
        <w:t>二〇二六年一月</w:t>
      </w:r>
    </w:p>
    <w:p w14:paraId="6B2C5EF1">
      <w:pPr>
        <w:pStyle w:val="14"/>
        <w:ind w:left="0" w:leftChars="0" w:firstLine="0" w:firstLineChars="0"/>
        <w:jc w:val="center"/>
        <w:rPr>
          <w:rFonts w:hint="eastAsia" w:ascii="宋体" w:hAnsi="宋体" w:eastAsia="宋体" w:cs="宋体"/>
          <w:b/>
          <w:bCs/>
          <w:color w:val="auto"/>
          <w:sz w:val="28"/>
          <w:szCs w:val="28"/>
          <w:highlight w:val="none"/>
          <w:shd w:val="clear" w:color="auto" w:fill="auto"/>
          <w:lang w:val="en-US" w:eastAsia="zh-CN"/>
        </w:rPr>
        <w:sectPr>
          <w:headerReference r:id="rId3" w:type="default"/>
          <w:pgSz w:w="11906" w:h="16838"/>
          <w:pgMar w:top="1247" w:right="1417" w:bottom="1247" w:left="1417" w:header="850" w:footer="907" w:gutter="0"/>
          <w:cols w:space="0" w:num="1"/>
          <w:titlePg/>
          <w:rtlGutter w:val="0"/>
          <w:docGrid w:type="lines" w:linePitch="312" w:charSpace="0"/>
        </w:sectPr>
      </w:pPr>
    </w:p>
    <w:p w14:paraId="7764705F">
      <w:pPr>
        <w:pStyle w:val="21"/>
        <w:keepNext w:val="0"/>
        <w:keepLines w:val="0"/>
        <w:pageBreakBefore w:val="0"/>
        <w:widowControl w:val="0"/>
        <w:tabs>
          <w:tab w:val="right" w:leader="dot" w:pos="9072"/>
        </w:tabs>
        <w:kinsoku/>
        <w:wordWrap/>
        <w:overflowPunct/>
        <w:topLinePunct w:val="0"/>
        <w:autoSpaceDE/>
        <w:autoSpaceDN/>
        <w:bidi w:val="0"/>
        <w:adjustRightInd/>
        <w:snapToGrid/>
        <w:spacing w:before="157" w:beforeLines="50" w:after="157" w:afterLines="50"/>
        <w:jc w:val="center"/>
        <w:textAlignment w:val="auto"/>
        <w:outlineLvl w:val="9"/>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b/>
          <w:bCs/>
          <w:color w:val="auto"/>
          <w:sz w:val="44"/>
          <w:szCs w:val="44"/>
          <w:highlight w:val="none"/>
          <w:shd w:val="clear" w:color="auto" w:fill="auto"/>
          <w:lang w:val="en-US" w:eastAsia="zh-CN"/>
        </w:rPr>
        <w:t>目 录</w:t>
      </w:r>
    </w:p>
    <w:p w14:paraId="65CD1FB2">
      <w:pPr>
        <w:pStyle w:val="21"/>
        <w:keepNext w:val="0"/>
        <w:keepLines w:val="0"/>
        <w:pageBreakBefore w:val="0"/>
        <w:widowControl w:val="0"/>
        <w:tabs>
          <w:tab w:val="right" w:leader="dot" w:pos="902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bCs/>
          <w:sz w:val="28"/>
          <w:szCs w:val="28"/>
          <w:highlight w:val="none"/>
        </w:rPr>
      </w:pPr>
      <w:r>
        <w:rPr>
          <w:rFonts w:hint="eastAsia" w:ascii="宋体" w:hAnsi="宋体" w:eastAsia="宋体" w:cs="宋体"/>
          <w:b/>
          <w:bCs/>
          <w:color w:val="auto"/>
          <w:sz w:val="28"/>
          <w:szCs w:val="28"/>
          <w:highlight w:val="none"/>
          <w:shd w:val="clear" w:color="auto" w:fill="auto"/>
          <w:lang w:val="en-US" w:eastAsia="zh-CN"/>
        </w:rPr>
        <w:fldChar w:fldCharType="begin"/>
      </w:r>
      <w:r>
        <w:rPr>
          <w:rFonts w:hint="eastAsia" w:ascii="宋体" w:hAnsi="宋体" w:eastAsia="宋体" w:cs="宋体"/>
          <w:b/>
          <w:bCs/>
          <w:color w:val="auto"/>
          <w:sz w:val="28"/>
          <w:szCs w:val="28"/>
          <w:highlight w:val="none"/>
          <w:shd w:val="clear" w:color="auto" w:fill="auto"/>
          <w:lang w:val="en-US" w:eastAsia="zh-CN"/>
        </w:rPr>
        <w:instrText xml:space="preserve">TOC \o "1-3" \h \u </w:instrText>
      </w:r>
      <w:r>
        <w:rPr>
          <w:rFonts w:hint="eastAsia" w:ascii="宋体" w:hAnsi="宋体" w:eastAsia="宋体" w:cs="宋体"/>
          <w:b/>
          <w:bCs/>
          <w:color w:val="auto"/>
          <w:sz w:val="28"/>
          <w:szCs w:val="28"/>
          <w:highlight w:val="none"/>
          <w:shd w:val="clear" w:color="auto" w:fill="auto"/>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fldChar w:fldCharType="begin"/>
      </w:r>
      <w:r>
        <w:rPr>
          <w:rFonts w:hint="eastAsia" w:ascii="宋体" w:hAnsi="宋体" w:eastAsia="宋体" w:cs="宋体"/>
          <w:b/>
          <w:bCs/>
          <w:sz w:val="28"/>
          <w:szCs w:val="28"/>
          <w:highlight w:val="none"/>
          <w:shd w:val="clear" w:color="auto" w:fill="auto"/>
          <w:lang w:val="en-US" w:eastAsia="zh-CN"/>
        </w:rPr>
        <w:instrText xml:space="preserve"> HYPERLINK \l _Toc24142 </w:instrText>
      </w:r>
      <w:r>
        <w:rPr>
          <w:rFonts w:hint="eastAsia" w:ascii="宋体" w:hAnsi="宋体" w:eastAsia="宋体" w:cs="宋体"/>
          <w:b/>
          <w:bCs/>
          <w:sz w:val="28"/>
          <w:szCs w:val="28"/>
          <w:highlight w:val="none"/>
          <w:shd w:val="clear" w:color="auto" w:fill="auto"/>
          <w:lang w:val="en-US" w:eastAsia="zh-CN"/>
        </w:rPr>
        <w:fldChar w:fldCharType="separate"/>
      </w:r>
      <w:r>
        <w:rPr>
          <w:rFonts w:hint="eastAsia" w:ascii="宋体" w:hAnsi="宋体" w:eastAsia="宋体" w:cs="宋体"/>
          <w:b/>
          <w:bCs/>
          <w:sz w:val="28"/>
          <w:szCs w:val="28"/>
          <w:highlight w:val="none"/>
          <w:shd w:val="clear" w:color="auto" w:fill="auto"/>
          <w:lang w:val="en-US" w:eastAsia="zh-CN"/>
        </w:rPr>
        <w:t>第一部分 竞争性磋商公告</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_Toc24142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- 2 -</w:t>
      </w:r>
      <w:r>
        <w:rPr>
          <w:rFonts w:hint="eastAsia" w:ascii="宋体" w:hAnsi="宋体" w:eastAsia="宋体" w:cs="宋体"/>
          <w:b/>
          <w:bCs/>
          <w:sz w:val="28"/>
          <w:szCs w:val="28"/>
          <w:highlight w:val="none"/>
        </w:rPr>
        <w:fldChar w:fldCharType="end"/>
      </w:r>
      <w:r>
        <w:rPr>
          <w:rFonts w:hint="eastAsia" w:ascii="宋体" w:hAnsi="宋体" w:eastAsia="宋体" w:cs="宋体"/>
          <w:b/>
          <w:bCs/>
          <w:color w:val="auto"/>
          <w:sz w:val="28"/>
          <w:szCs w:val="28"/>
          <w:highlight w:val="none"/>
          <w:shd w:val="clear" w:color="auto" w:fill="auto"/>
          <w:lang w:val="en-US" w:eastAsia="zh-CN"/>
        </w:rPr>
        <w:fldChar w:fldCharType="end"/>
      </w:r>
    </w:p>
    <w:p w14:paraId="178C22CD">
      <w:pPr>
        <w:pStyle w:val="21"/>
        <w:keepNext w:val="0"/>
        <w:keepLines w:val="0"/>
        <w:pageBreakBefore w:val="0"/>
        <w:widowControl w:val="0"/>
        <w:tabs>
          <w:tab w:val="right" w:leader="dot" w:pos="902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bCs/>
          <w:sz w:val="28"/>
          <w:szCs w:val="28"/>
          <w:highlight w:val="none"/>
        </w:rPr>
      </w:pPr>
      <w:r>
        <w:rPr>
          <w:rFonts w:hint="eastAsia" w:ascii="宋体" w:hAnsi="宋体" w:eastAsia="宋体" w:cs="宋体"/>
          <w:b/>
          <w:bCs/>
          <w:color w:val="auto"/>
          <w:sz w:val="28"/>
          <w:szCs w:val="28"/>
          <w:highlight w:val="none"/>
          <w:shd w:val="clear" w:color="auto" w:fill="auto"/>
          <w:lang w:val="en-US" w:eastAsia="zh-CN"/>
        </w:rPr>
        <w:fldChar w:fldCharType="begin"/>
      </w:r>
      <w:r>
        <w:rPr>
          <w:rFonts w:hint="eastAsia" w:ascii="宋体" w:hAnsi="宋体" w:eastAsia="宋体" w:cs="宋体"/>
          <w:b/>
          <w:bCs/>
          <w:sz w:val="28"/>
          <w:szCs w:val="28"/>
          <w:highlight w:val="none"/>
          <w:shd w:val="clear" w:color="auto" w:fill="auto"/>
          <w:lang w:val="en-US" w:eastAsia="zh-CN"/>
        </w:rPr>
        <w:instrText xml:space="preserve"> HYPERLINK \l _Toc24669 </w:instrText>
      </w:r>
      <w:r>
        <w:rPr>
          <w:rFonts w:hint="eastAsia" w:ascii="宋体" w:hAnsi="宋体" w:eastAsia="宋体" w:cs="宋体"/>
          <w:b/>
          <w:bCs/>
          <w:sz w:val="28"/>
          <w:szCs w:val="28"/>
          <w:highlight w:val="none"/>
          <w:shd w:val="clear" w:color="auto" w:fill="auto"/>
          <w:lang w:val="en-US" w:eastAsia="zh-CN"/>
        </w:rPr>
        <w:fldChar w:fldCharType="separate"/>
      </w:r>
      <w:r>
        <w:rPr>
          <w:rFonts w:hint="eastAsia" w:ascii="宋体" w:hAnsi="宋体" w:eastAsia="宋体" w:cs="宋体"/>
          <w:b/>
          <w:bCs/>
          <w:sz w:val="28"/>
          <w:szCs w:val="28"/>
          <w:highlight w:val="none"/>
          <w:shd w:val="clear" w:color="auto" w:fill="auto"/>
          <w:lang w:val="en-US" w:eastAsia="zh-CN"/>
        </w:rPr>
        <w:t>第二部分 供应商须知</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_Toc24669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- 4 -</w:t>
      </w:r>
      <w:r>
        <w:rPr>
          <w:rFonts w:hint="eastAsia" w:ascii="宋体" w:hAnsi="宋体" w:eastAsia="宋体" w:cs="宋体"/>
          <w:b/>
          <w:bCs/>
          <w:sz w:val="28"/>
          <w:szCs w:val="28"/>
          <w:highlight w:val="none"/>
        </w:rPr>
        <w:fldChar w:fldCharType="end"/>
      </w:r>
      <w:r>
        <w:rPr>
          <w:rFonts w:hint="eastAsia" w:ascii="宋体" w:hAnsi="宋体" w:eastAsia="宋体" w:cs="宋体"/>
          <w:b/>
          <w:bCs/>
          <w:color w:val="auto"/>
          <w:sz w:val="28"/>
          <w:szCs w:val="28"/>
          <w:highlight w:val="none"/>
          <w:shd w:val="clear" w:color="auto" w:fill="auto"/>
          <w:lang w:val="en-US" w:eastAsia="zh-CN"/>
        </w:rPr>
        <w:fldChar w:fldCharType="end"/>
      </w:r>
    </w:p>
    <w:p w14:paraId="4F0E9C1F">
      <w:pPr>
        <w:pStyle w:val="21"/>
        <w:keepNext w:val="0"/>
        <w:keepLines w:val="0"/>
        <w:pageBreakBefore w:val="0"/>
        <w:widowControl w:val="0"/>
        <w:tabs>
          <w:tab w:val="right" w:leader="dot" w:pos="902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bCs/>
          <w:sz w:val="28"/>
          <w:szCs w:val="28"/>
          <w:highlight w:val="none"/>
        </w:rPr>
      </w:pPr>
      <w:r>
        <w:rPr>
          <w:rFonts w:hint="eastAsia" w:ascii="宋体" w:hAnsi="宋体" w:eastAsia="宋体" w:cs="宋体"/>
          <w:b/>
          <w:bCs/>
          <w:color w:val="auto"/>
          <w:sz w:val="28"/>
          <w:szCs w:val="28"/>
          <w:highlight w:val="none"/>
          <w:shd w:val="clear" w:color="auto" w:fill="auto"/>
          <w:lang w:val="en-US" w:eastAsia="zh-CN"/>
        </w:rPr>
        <w:fldChar w:fldCharType="begin"/>
      </w:r>
      <w:r>
        <w:rPr>
          <w:rFonts w:hint="eastAsia" w:ascii="宋体" w:hAnsi="宋体" w:eastAsia="宋体" w:cs="宋体"/>
          <w:b/>
          <w:bCs/>
          <w:sz w:val="28"/>
          <w:szCs w:val="28"/>
          <w:highlight w:val="none"/>
          <w:shd w:val="clear" w:color="auto" w:fill="auto"/>
          <w:lang w:val="en-US" w:eastAsia="zh-CN"/>
        </w:rPr>
        <w:instrText xml:space="preserve"> HYPERLINK \l _Toc4503 </w:instrText>
      </w:r>
      <w:r>
        <w:rPr>
          <w:rFonts w:hint="eastAsia" w:ascii="宋体" w:hAnsi="宋体" w:eastAsia="宋体" w:cs="宋体"/>
          <w:b/>
          <w:bCs/>
          <w:sz w:val="28"/>
          <w:szCs w:val="28"/>
          <w:highlight w:val="none"/>
          <w:shd w:val="clear" w:color="auto" w:fill="auto"/>
          <w:lang w:val="en-US" w:eastAsia="zh-CN"/>
        </w:rPr>
        <w:fldChar w:fldCharType="separate"/>
      </w:r>
      <w:r>
        <w:rPr>
          <w:rFonts w:hint="eastAsia" w:ascii="宋体" w:hAnsi="宋体" w:eastAsia="宋体" w:cs="宋体"/>
          <w:b/>
          <w:bCs/>
          <w:sz w:val="28"/>
          <w:szCs w:val="28"/>
          <w:highlight w:val="none"/>
          <w:shd w:val="clear" w:color="auto" w:fill="auto"/>
          <w:lang w:val="en-US" w:eastAsia="zh-CN"/>
        </w:rPr>
        <w:t>第三部分 项目说明</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_Toc4503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- 27 -</w:t>
      </w:r>
      <w:r>
        <w:rPr>
          <w:rFonts w:hint="eastAsia" w:ascii="宋体" w:hAnsi="宋体" w:eastAsia="宋体" w:cs="宋体"/>
          <w:b/>
          <w:bCs/>
          <w:sz w:val="28"/>
          <w:szCs w:val="28"/>
          <w:highlight w:val="none"/>
        </w:rPr>
        <w:fldChar w:fldCharType="end"/>
      </w:r>
      <w:r>
        <w:rPr>
          <w:rFonts w:hint="eastAsia" w:ascii="宋体" w:hAnsi="宋体" w:eastAsia="宋体" w:cs="宋体"/>
          <w:b/>
          <w:bCs/>
          <w:color w:val="auto"/>
          <w:sz w:val="28"/>
          <w:szCs w:val="28"/>
          <w:highlight w:val="none"/>
          <w:shd w:val="clear" w:color="auto" w:fill="auto"/>
          <w:lang w:val="en-US" w:eastAsia="zh-CN"/>
        </w:rPr>
        <w:fldChar w:fldCharType="end"/>
      </w:r>
    </w:p>
    <w:p w14:paraId="7A3A3965">
      <w:pPr>
        <w:pStyle w:val="21"/>
        <w:keepNext w:val="0"/>
        <w:keepLines w:val="0"/>
        <w:pageBreakBefore w:val="0"/>
        <w:widowControl w:val="0"/>
        <w:tabs>
          <w:tab w:val="right" w:leader="dot" w:pos="902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bCs/>
          <w:sz w:val="28"/>
          <w:szCs w:val="28"/>
          <w:highlight w:val="none"/>
        </w:rPr>
      </w:pPr>
      <w:r>
        <w:rPr>
          <w:rFonts w:hint="eastAsia" w:ascii="宋体" w:hAnsi="宋体" w:eastAsia="宋体" w:cs="宋体"/>
          <w:b/>
          <w:bCs/>
          <w:color w:val="auto"/>
          <w:sz w:val="28"/>
          <w:szCs w:val="28"/>
          <w:highlight w:val="none"/>
          <w:shd w:val="clear" w:color="auto" w:fill="auto"/>
          <w:lang w:val="en-US" w:eastAsia="zh-CN"/>
        </w:rPr>
        <w:fldChar w:fldCharType="begin"/>
      </w:r>
      <w:r>
        <w:rPr>
          <w:rFonts w:hint="eastAsia" w:ascii="宋体" w:hAnsi="宋体" w:eastAsia="宋体" w:cs="宋体"/>
          <w:b/>
          <w:bCs/>
          <w:sz w:val="28"/>
          <w:szCs w:val="28"/>
          <w:highlight w:val="none"/>
          <w:shd w:val="clear" w:color="auto" w:fill="auto"/>
          <w:lang w:val="en-US" w:eastAsia="zh-CN"/>
        </w:rPr>
        <w:instrText xml:space="preserve"> HYPERLINK \l _Toc11236 </w:instrText>
      </w:r>
      <w:r>
        <w:rPr>
          <w:rFonts w:hint="eastAsia" w:ascii="宋体" w:hAnsi="宋体" w:eastAsia="宋体" w:cs="宋体"/>
          <w:b/>
          <w:bCs/>
          <w:sz w:val="28"/>
          <w:szCs w:val="28"/>
          <w:highlight w:val="none"/>
          <w:shd w:val="clear" w:color="auto" w:fill="auto"/>
          <w:lang w:val="en-US" w:eastAsia="zh-CN"/>
        </w:rPr>
        <w:fldChar w:fldCharType="separate"/>
      </w:r>
      <w:r>
        <w:rPr>
          <w:rFonts w:hint="eastAsia" w:ascii="宋体" w:hAnsi="宋体" w:eastAsia="宋体" w:cs="宋体"/>
          <w:b/>
          <w:bCs/>
          <w:sz w:val="28"/>
          <w:szCs w:val="28"/>
          <w:highlight w:val="none"/>
          <w:shd w:val="clear" w:color="auto" w:fill="auto"/>
          <w:lang w:val="en-US" w:eastAsia="zh-CN"/>
        </w:rPr>
        <w:t>第四部分 合同格式</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_Toc11236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- 34 -</w:t>
      </w:r>
      <w:r>
        <w:rPr>
          <w:rFonts w:hint="eastAsia" w:ascii="宋体" w:hAnsi="宋体" w:eastAsia="宋体" w:cs="宋体"/>
          <w:b/>
          <w:bCs/>
          <w:sz w:val="28"/>
          <w:szCs w:val="28"/>
          <w:highlight w:val="none"/>
        </w:rPr>
        <w:fldChar w:fldCharType="end"/>
      </w:r>
      <w:r>
        <w:rPr>
          <w:rFonts w:hint="eastAsia" w:ascii="宋体" w:hAnsi="宋体" w:eastAsia="宋体" w:cs="宋体"/>
          <w:b/>
          <w:bCs/>
          <w:color w:val="auto"/>
          <w:sz w:val="28"/>
          <w:szCs w:val="28"/>
          <w:highlight w:val="none"/>
          <w:shd w:val="clear" w:color="auto" w:fill="auto"/>
          <w:lang w:val="en-US" w:eastAsia="zh-CN"/>
        </w:rPr>
        <w:fldChar w:fldCharType="end"/>
      </w:r>
    </w:p>
    <w:p w14:paraId="26C85FDA">
      <w:pPr>
        <w:pStyle w:val="21"/>
        <w:keepNext w:val="0"/>
        <w:keepLines w:val="0"/>
        <w:pageBreakBefore w:val="0"/>
        <w:widowControl w:val="0"/>
        <w:tabs>
          <w:tab w:val="right" w:leader="dot" w:pos="902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bCs/>
          <w:sz w:val="28"/>
          <w:szCs w:val="28"/>
          <w:highlight w:val="none"/>
        </w:rPr>
      </w:pPr>
      <w:r>
        <w:rPr>
          <w:rFonts w:hint="eastAsia" w:ascii="宋体" w:hAnsi="宋体" w:eastAsia="宋体" w:cs="宋体"/>
          <w:b/>
          <w:bCs/>
          <w:color w:val="auto"/>
          <w:sz w:val="28"/>
          <w:szCs w:val="28"/>
          <w:highlight w:val="none"/>
          <w:shd w:val="clear" w:color="auto" w:fill="auto"/>
          <w:lang w:val="en-US" w:eastAsia="zh-CN"/>
        </w:rPr>
        <w:fldChar w:fldCharType="begin"/>
      </w:r>
      <w:r>
        <w:rPr>
          <w:rFonts w:hint="eastAsia" w:ascii="宋体" w:hAnsi="宋体" w:eastAsia="宋体" w:cs="宋体"/>
          <w:b/>
          <w:bCs/>
          <w:sz w:val="28"/>
          <w:szCs w:val="28"/>
          <w:highlight w:val="none"/>
          <w:shd w:val="clear" w:color="auto" w:fill="auto"/>
          <w:lang w:val="en-US" w:eastAsia="zh-CN"/>
        </w:rPr>
        <w:instrText xml:space="preserve"> HYPERLINK \l _Toc5758 </w:instrText>
      </w:r>
      <w:r>
        <w:rPr>
          <w:rFonts w:hint="eastAsia" w:ascii="宋体" w:hAnsi="宋体" w:eastAsia="宋体" w:cs="宋体"/>
          <w:b/>
          <w:bCs/>
          <w:sz w:val="28"/>
          <w:szCs w:val="28"/>
          <w:highlight w:val="none"/>
          <w:shd w:val="clear" w:color="auto" w:fill="auto"/>
          <w:lang w:val="en-US" w:eastAsia="zh-CN"/>
        </w:rPr>
        <w:fldChar w:fldCharType="separate"/>
      </w:r>
      <w:r>
        <w:rPr>
          <w:rFonts w:hint="eastAsia" w:ascii="宋体" w:hAnsi="宋体" w:eastAsia="宋体" w:cs="宋体"/>
          <w:b/>
          <w:bCs/>
          <w:sz w:val="28"/>
          <w:szCs w:val="28"/>
          <w:highlight w:val="none"/>
          <w:shd w:val="clear" w:color="auto" w:fill="auto"/>
          <w:lang w:val="en-US" w:eastAsia="zh-CN"/>
        </w:rPr>
        <w:t>第五部分 响应文件格式</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_Toc5758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- 45 -</w:t>
      </w:r>
      <w:r>
        <w:rPr>
          <w:rFonts w:hint="eastAsia" w:ascii="宋体" w:hAnsi="宋体" w:eastAsia="宋体" w:cs="宋体"/>
          <w:b/>
          <w:bCs/>
          <w:sz w:val="28"/>
          <w:szCs w:val="28"/>
          <w:highlight w:val="none"/>
        </w:rPr>
        <w:fldChar w:fldCharType="end"/>
      </w:r>
      <w:r>
        <w:rPr>
          <w:rFonts w:hint="eastAsia" w:ascii="宋体" w:hAnsi="宋体" w:eastAsia="宋体" w:cs="宋体"/>
          <w:b/>
          <w:bCs/>
          <w:color w:val="auto"/>
          <w:sz w:val="28"/>
          <w:szCs w:val="28"/>
          <w:highlight w:val="none"/>
          <w:shd w:val="clear" w:color="auto" w:fill="auto"/>
          <w:lang w:val="en-US" w:eastAsia="zh-CN"/>
        </w:rPr>
        <w:fldChar w:fldCharType="end"/>
      </w:r>
    </w:p>
    <w:p w14:paraId="644F1CDE">
      <w:pPr>
        <w:pStyle w:val="24"/>
        <w:tabs>
          <w:tab w:val="right" w:leader="dot" w:pos="9026"/>
        </w:tabs>
        <w:rPr>
          <w:highlight w:val="none"/>
        </w:rPr>
      </w:pPr>
    </w:p>
    <w:p w14:paraId="1B7C4659">
      <w:pPr>
        <w:pStyle w:val="2"/>
        <w:keepNext/>
        <w:keepLines/>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0"/>
        <w:rPr>
          <w:rFonts w:hint="eastAsia" w:ascii="宋体" w:hAnsi="宋体" w:eastAsia="宋体" w:cs="宋体"/>
          <w:color w:val="auto"/>
          <w:szCs w:val="28"/>
          <w:highlight w:val="none"/>
          <w:shd w:val="clear" w:color="auto" w:fill="auto"/>
          <w:lang w:val="en-US" w:eastAsia="zh-CN"/>
        </w:rPr>
      </w:pPr>
      <w:r>
        <w:rPr>
          <w:rFonts w:hint="eastAsia" w:ascii="宋体" w:hAnsi="宋体" w:eastAsia="宋体" w:cs="宋体"/>
          <w:bCs/>
          <w:color w:val="auto"/>
          <w:szCs w:val="28"/>
          <w:highlight w:val="none"/>
          <w:shd w:val="clear" w:color="auto" w:fill="auto"/>
          <w:lang w:val="en-US" w:eastAsia="zh-CN"/>
        </w:rPr>
        <w:fldChar w:fldCharType="end"/>
      </w:r>
    </w:p>
    <w:p w14:paraId="5376463C">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szCs w:val="28"/>
          <w:highlight w:val="none"/>
          <w:shd w:val="clear" w:color="auto" w:fill="auto"/>
          <w:lang w:val="en-US" w:eastAsia="zh-CN"/>
        </w:rPr>
        <w:br w:type="page"/>
      </w:r>
    </w:p>
    <w:p w14:paraId="0BB33652">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ascii="宋体" w:hAnsi="宋体" w:eastAsia="宋体" w:cs="宋体"/>
          <w:color w:val="auto"/>
          <w:sz w:val="32"/>
          <w:szCs w:val="32"/>
          <w:highlight w:val="none"/>
          <w:shd w:val="clear" w:color="auto" w:fill="auto"/>
          <w:lang w:val="en-US" w:eastAsia="zh-CN"/>
        </w:rPr>
      </w:pPr>
      <w:bookmarkStart w:id="0" w:name="_Toc28310"/>
      <w:bookmarkStart w:id="1" w:name="_Toc24142"/>
      <w:r>
        <w:rPr>
          <w:rFonts w:hint="eastAsia" w:ascii="宋体" w:hAnsi="宋体" w:eastAsia="宋体" w:cs="宋体"/>
          <w:color w:val="auto"/>
          <w:sz w:val="32"/>
          <w:szCs w:val="32"/>
          <w:highlight w:val="none"/>
          <w:shd w:val="clear" w:color="auto" w:fill="auto"/>
          <w:lang w:val="en-US" w:eastAsia="zh-CN"/>
        </w:rPr>
        <w:t xml:space="preserve">第一部分 </w:t>
      </w:r>
      <w:bookmarkEnd w:id="0"/>
      <w:r>
        <w:rPr>
          <w:rFonts w:hint="eastAsia" w:ascii="宋体" w:hAnsi="宋体" w:eastAsia="宋体" w:cs="宋体"/>
          <w:color w:val="auto"/>
          <w:sz w:val="32"/>
          <w:szCs w:val="32"/>
          <w:highlight w:val="none"/>
          <w:shd w:val="clear" w:color="auto" w:fill="auto"/>
          <w:lang w:val="en-US" w:eastAsia="zh-CN"/>
        </w:rPr>
        <w:t>竞争性磋商公告</w:t>
      </w:r>
      <w:bookmarkEnd w:id="1"/>
    </w:p>
    <w:p w14:paraId="0D22F0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聊城市退役军人医院优抚病房楼监控采购安装项目</w:t>
      </w:r>
      <w:r>
        <w:rPr>
          <w:rFonts w:hint="eastAsia" w:ascii="宋体" w:hAnsi="宋体" w:eastAsia="宋体" w:cs="宋体"/>
          <w:b/>
          <w:bCs/>
          <w:color w:val="auto"/>
          <w:sz w:val="24"/>
          <w:szCs w:val="24"/>
          <w:highlight w:val="none"/>
        </w:rPr>
        <w:t>竞争性磋商公告</w:t>
      </w:r>
    </w:p>
    <w:p w14:paraId="740211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011D16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JHLCZB-2026-0104</w:t>
      </w:r>
    </w:p>
    <w:p w14:paraId="48D1EC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聊城市退役军人医院优抚病房楼监控采购安装项目</w:t>
      </w:r>
    </w:p>
    <w:p w14:paraId="434792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14:paraId="6389A1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预算</w:t>
      </w:r>
      <w:r>
        <w:rPr>
          <w:rFonts w:hint="eastAsia" w:ascii="宋体" w:hAnsi="宋体" w:eastAsia="宋体" w:cs="宋体"/>
          <w:color w:val="auto"/>
          <w:sz w:val="24"/>
          <w:szCs w:val="24"/>
          <w:highlight w:val="none"/>
          <w:lang w:eastAsia="zh-CN"/>
        </w:rPr>
        <w:t>金额：</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万元</w:t>
      </w:r>
    </w:p>
    <w:p w14:paraId="2EC69F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万元</w:t>
      </w:r>
    </w:p>
    <w:p w14:paraId="0A6068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28"/>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301"/>
        <w:gridCol w:w="931"/>
        <w:gridCol w:w="3259"/>
        <w:gridCol w:w="1703"/>
      </w:tblGrid>
      <w:tr w14:paraId="7255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84" w:type="dxa"/>
            <w:vAlign w:val="center"/>
          </w:tcPr>
          <w:p w14:paraId="0A788F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标的</w:t>
            </w:r>
          </w:p>
        </w:tc>
        <w:tc>
          <w:tcPr>
            <w:tcW w:w="3301" w:type="dxa"/>
            <w:vAlign w:val="center"/>
          </w:tcPr>
          <w:p w14:paraId="00B48C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标的名称</w:t>
            </w:r>
          </w:p>
        </w:tc>
        <w:tc>
          <w:tcPr>
            <w:tcW w:w="931" w:type="dxa"/>
            <w:vAlign w:val="center"/>
          </w:tcPr>
          <w:p w14:paraId="640B30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数量</w:t>
            </w:r>
          </w:p>
        </w:tc>
        <w:tc>
          <w:tcPr>
            <w:tcW w:w="3259" w:type="dxa"/>
            <w:vAlign w:val="center"/>
          </w:tcPr>
          <w:p w14:paraId="72F022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简要技术需求或服务要求</w:t>
            </w:r>
          </w:p>
        </w:tc>
        <w:tc>
          <w:tcPr>
            <w:tcW w:w="1703" w:type="dxa"/>
            <w:vAlign w:val="center"/>
          </w:tcPr>
          <w:p w14:paraId="463758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本包预算金额（单位：万元）</w:t>
            </w:r>
          </w:p>
        </w:tc>
      </w:tr>
      <w:tr w14:paraId="7C3A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84" w:type="dxa"/>
            <w:vAlign w:val="center"/>
          </w:tcPr>
          <w:p w14:paraId="4DB6A4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A</w:t>
            </w:r>
          </w:p>
        </w:tc>
        <w:tc>
          <w:tcPr>
            <w:tcW w:w="3301" w:type="dxa"/>
            <w:vAlign w:val="center"/>
          </w:tcPr>
          <w:p w14:paraId="2B4E4A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聊城市退役军人医院优抚病房楼监控采购安装项目</w:t>
            </w:r>
          </w:p>
        </w:tc>
        <w:tc>
          <w:tcPr>
            <w:tcW w:w="931" w:type="dxa"/>
            <w:vAlign w:val="center"/>
          </w:tcPr>
          <w:p w14:paraId="671429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3259" w:type="dxa"/>
            <w:vAlign w:val="center"/>
          </w:tcPr>
          <w:p w14:paraId="74415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详见竞争性磋商文件</w:t>
            </w:r>
          </w:p>
        </w:tc>
        <w:tc>
          <w:tcPr>
            <w:tcW w:w="1703" w:type="dxa"/>
            <w:vAlign w:val="center"/>
          </w:tcPr>
          <w:p w14:paraId="52A1DE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25</w:t>
            </w:r>
          </w:p>
        </w:tc>
      </w:tr>
    </w:tbl>
    <w:p w14:paraId="6411C44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合同履行期限：详见采购文件。</w:t>
      </w:r>
    </w:p>
    <w:p w14:paraId="3D71D3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p w14:paraId="08BB8F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3A080B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w:t>
      </w:r>
    </w:p>
    <w:p w14:paraId="558B24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2.落实政府采购政策需满足的资格要求：执行政府采购相关政策。</w:t>
      </w:r>
    </w:p>
    <w:p w14:paraId="6C2AAF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3.本项目的特定资格要求：</w:t>
      </w:r>
    </w:p>
    <w:p w14:paraId="6811AF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（1）供应商具备中华人民共和国有效的营业执照，并在人员、设备、资金等方面具有相应的供货、施工、安装调试、售后等相关服务能力；</w:t>
      </w:r>
    </w:p>
    <w:p w14:paraId="653415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）本项目不接受联合体投标。</w:t>
      </w:r>
    </w:p>
    <w:p w14:paraId="3325DD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7BE002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val="en-US" w:eastAsia="zh-CN"/>
        </w:rPr>
        <w:t>2026年01月05日9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lang w:val="en-US" w:eastAsia="zh-CN"/>
        </w:rPr>
        <w:t>2026年01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分（北京时间）</w:t>
      </w:r>
    </w:p>
    <w:p w14:paraId="5A0B61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lang w:eastAsia="zh-CN"/>
        </w:rPr>
        <w:t>现场报名（聊城市开发区星美大厦1栋13楼1324室）</w:t>
      </w:r>
    </w:p>
    <w:p w14:paraId="286B43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潜在供应商须提交以下清晰的资料一套：营业执照复印件（加盖公章）、法定代表人授权委托书原件。注：报名时的资料查验不代表资格审查的最终通过或合格，供应商最终的资格确认以组织的资格后审为准。</w:t>
      </w:r>
    </w:p>
    <w:p w14:paraId="3F63F8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lang w:val="en-US" w:eastAsia="zh-CN"/>
        </w:rPr>
        <w:t>300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/份，售后不退。</w:t>
      </w:r>
    </w:p>
    <w:p w14:paraId="7AA105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FF890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val="en-US" w:eastAsia="zh-CN"/>
        </w:rPr>
        <w:t>2026年01月15日09点30分</w:t>
      </w:r>
      <w:r>
        <w:rPr>
          <w:rFonts w:hint="eastAsia" w:ascii="宋体" w:hAnsi="宋体" w:eastAsia="宋体" w:cs="宋体"/>
          <w:color w:val="auto"/>
          <w:sz w:val="24"/>
          <w:szCs w:val="24"/>
          <w:highlight w:val="none"/>
        </w:rPr>
        <w:t>（北京时间）</w:t>
      </w:r>
    </w:p>
    <w:p w14:paraId="1CF0FD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疆海工程项目管理有限公司会议室</w:t>
      </w:r>
    </w:p>
    <w:p w14:paraId="3B60F8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090BC4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2026年01月15日09点30分</w:t>
      </w:r>
      <w:r>
        <w:rPr>
          <w:rFonts w:hint="eastAsia" w:ascii="宋体" w:hAnsi="宋体" w:eastAsia="宋体" w:cs="宋体"/>
          <w:color w:val="auto"/>
          <w:sz w:val="24"/>
          <w:szCs w:val="24"/>
          <w:highlight w:val="none"/>
        </w:rPr>
        <w:t>（北京时间）</w:t>
      </w:r>
    </w:p>
    <w:p w14:paraId="7B96DD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疆海工程项目管理有限公司会议室</w:t>
      </w:r>
    </w:p>
    <w:p w14:paraId="1EE6E6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六、公告期限</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自本公告发布之日起3个工作日。</w:t>
      </w:r>
    </w:p>
    <w:p w14:paraId="65C84F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七、发布公告的媒介</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中国招标投标</w:t>
      </w:r>
      <w:bookmarkStart w:id="38" w:name="_GoBack"/>
      <w:bookmarkEnd w:id="38"/>
      <w:r>
        <w:rPr>
          <w:rFonts w:hint="eastAsia" w:ascii="宋体" w:hAnsi="宋体" w:eastAsia="宋体" w:cs="宋体"/>
          <w:b w:val="0"/>
          <w:bCs w:val="0"/>
          <w:color w:val="auto"/>
          <w:sz w:val="24"/>
          <w:szCs w:val="24"/>
          <w:highlight w:val="none"/>
          <w:lang w:eastAsia="zh-CN"/>
        </w:rPr>
        <w:t>公共服务平台。</w:t>
      </w:r>
    </w:p>
    <w:p w14:paraId="503163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八、凡对本次采购提出询问，请按以下方式联系</w:t>
      </w:r>
    </w:p>
    <w:p w14:paraId="298471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50FC12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名称：聊城市退役军人医院</w:t>
      </w:r>
    </w:p>
    <w:p w14:paraId="26B5EA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地址：聊城市东昌府区花园南路皋东街2号</w:t>
      </w:r>
    </w:p>
    <w:p w14:paraId="4F2472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联系方式：王林太、15966210718</w:t>
      </w:r>
    </w:p>
    <w:p w14:paraId="432FF7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1F96D2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疆海工程项目管理有限公司</w:t>
      </w:r>
    </w:p>
    <w:p w14:paraId="10EA8F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聊城市开发区星美大厦1栋13楼1324室</w:t>
      </w:r>
    </w:p>
    <w:p w14:paraId="6A538C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崔长进、18866573602</w:t>
      </w:r>
    </w:p>
    <w:p w14:paraId="5C7717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0ECA4E4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崔长进</w:t>
      </w:r>
    </w:p>
    <w:p w14:paraId="21600F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18866573602</w:t>
      </w:r>
    </w:p>
    <w:p w14:paraId="5B37BBE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发布人：疆海工程项目管理有限公司</w:t>
      </w:r>
    </w:p>
    <w:p w14:paraId="7326A16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时间：</w:t>
      </w:r>
      <w:r>
        <w:rPr>
          <w:rFonts w:hint="eastAsia" w:ascii="宋体" w:hAnsi="宋体" w:eastAsia="宋体" w:cs="宋体"/>
          <w:color w:val="auto"/>
          <w:sz w:val="24"/>
          <w:szCs w:val="24"/>
          <w:highlight w:val="none"/>
          <w:lang w:val="en-US" w:eastAsia="zh-CN"/>
        </w:rPr>
        <w:t>2026年01月04日</w:t>
      </w:r>
    </w:p>
    <w:p w14:paraId="0AC39555">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55583C6B">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ascii="宋体" w:hAnsi="宋体" w:eastAsia="宋体" w:cs="宋体"/>
          <w:color w:val="auto"/>
          <w:sz w:val="32"/>
          <w:szCs w:val="32"/>
          <w:highlight w:val="none"/>
          <w:shd w:val="clear" w:color="auto" w:fill="auto"/>
          <w:lang w:val="en-US" w:eastAsia="zh-CN"/>
        </w:rPr>
      </w:pPr>
      <w:bookmarkStart w:id="2" w:name="_Toc24669"/>
      <w:bookmarkStart w:id="3" w:name="_Toc16284"/>
      <w:r>
        <w:rPr>
          <w:rFonts w:hint="eastAsia" w:ascii="宋体" w:hAnsi="宋体" w:eastAsia="宋体" w:cs="宋体"/>
          <w:color w:val="auto"/>
          <w:sz w:val="32"/>
          <w:szCs w:val="32"/>
          <w:highlight w:val="none"/>
          <w:shd w:val="clear" w:color="auto" w:fill="auto"/>
          <w:lang w:val="en-US" w:eastAsia="zh-CN"/>
        </w:rPr>
        <w:t>第二部分 供应商须知</w:t>
      </w:r>
      <w:bookmarkEnd w:id="2"/>
      <w:bookmarkEnd w:id="3"/>
    </w:p>
    <w:p w14:paraId="5BF8AC2A">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投标须知前附表</w:t>
      </w:r>
    </w:p>
    <w:tbl>
      <w:tblPr>
        <w:tblStyle w:val="27"/>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07"/>
        <w:gridCol w:w="6794"/>
      </w:tblGrid>
      <w:tr w14:paraId="0A39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50" w:type="dxa"/>
            <w:vAlign w:val="center"/>
          </w:tcPr>
          <w:p w14:paraId="1D60E0FB">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shd w:val="clear" w:color="auto" w:fill="auto"/>
              </w:rPr>
            </w:pPr>
            <w:bookmarkStart w:id="4" w:name="OLE_LINK11"/>
            <w:r>
              <w:rPr>
                <w:rFonts w:hint="eastAsia" w:ascii="宋体" w:hAnsi="宋体" w:eastAsia="宋体" w:cs="宋体"/>
                <w:color w:val="auto"/>
                <w:sz w:val="24"/>
                <w:szCs w:val="24"/>
                <w:highlight w:val="none"/>
                <w:shd w:val="clear" w:color="auto" w:fill="auto"/>
              </w:rPr>
              <w:t>序号</w:t>
            </w:r>
          </w:p>
        </w:tc>
        <w:tc>
          <w:tcPr>
            <w:tcW w:w="1907" w:type="dxa"/>
            <w:vAlign w:val="center"/>
          </w:tcPr>
          <w:p w14:paraId="34A3F65D">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内   容</w:t>
            </w:r>
          </w:p>
        </w:tc>
        <w:tc>
          <w:tcPr>
            <w:tcW w:w="6794" w:type="dxa"/>
            <w:vAlign w:val="center"/>
          </w:tcPr>
          <w:p w14:paraId="7078621F">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说明与要求</w:t>
            </w:r>
          </w:p>
        </w:tc>
      </w:tr>
      <w:tr w14:paraId="4B5A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50" w:type="dxa"/>
            <w:vAlign w:val="center"/>
          </w:tcPr>
          <w:p w14:paraId="24C860E3">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1907" w:type="dxa"/>
            <w:vAlign w:val="center"/>
          </w:tcPr>
          <w:p w14:paraId="5E28C0D5">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项目名称</w:t>
            </w:r>
          </w:p>
        </w:tc>
        <w:tc>
          <w:tcPr>
            <w:tcW w:w="6794" w:type="dxa"/>
            <w:vAlign w:val="center"/>
          </w:tcPr>
          <w:p w14:paraId="6C86B664">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聊城市退役军人医院优抚病房楼监控采购安装项目</w:t>
            </w:r>
          </w:p>
        </w:tc>
      </w:tr>
      <w:tr w14:paraId="1CFB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50" w:type="dxa"/>
            <w:vAlign w:val="center"/>
          </w:tcPr>
          <w:p w14:paraId="73EF7B0B">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rPr>
              <w:t>2</w:t>
            </w:r>
          </w:p>
        </w:tc>
        <w:tc>
          <w:tcPr>
            <w:tcW w:w="1907" w:type="dxa"/>
            <w:vAlign w:val="center"/>
          </w:tcPr>
          <w:p w14:paraId="1D0D4137">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项目编号</w:t>
            </w:r>
          </w:p>
        </w:tc>
        <w:tc>
          <w:tcPr>
            <w:tcW w:w="6794" w:type="dxa"/>
            <w:vAlign w:val="center"/>
          </w:tcPr>
          <w:p w14:paraId="3516531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JHLCZB-2026-0104</w:t>
            </w:r>
          </w:p>
        </w:tc>
      </w:tr>
      <w:tr w14:paraId="44CE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50" w:type="dxa"/>
            <w:vAlign w:val="center"/>
          </w:tcPr>
          <w:p w14:paraId="1AADF98C">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rPr>
              <w:t>3</w:t>
            </w:r>
          </w:p>
        </w:tc>
        <w:tc>
          <w:tcPr>
            <w:tcW w:w="1907" w:type="dxa"/>
            <w:vAlign w:val="center"/>
          </w:tcPr>
          <w:p w14:paraId="6B45CD10">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采购人</w:t>
            </w:r>
          </w:p>
        </w:tc>
        <w:tc>
          <w:tcPr>
            <w:tcW w:w="6794" w:type="dxa"/>
            <w:vAlign w:val="center"/>
          </w:tcPr>
          <w:p w14:paraId="64905E2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采购人名称：聊城市退役军人医院</w:t>
            </w:r>
          </w:p>
          <w:p w14:paraId="68F7A49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地址：聊城市东昌府区花园南路皋东街2号</w:t>
            </w:r>
          </w:p>
          <w:p w14:paraId="67C6FFCA">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联系人：王林太</w:t>
            </w:r>
            <w:r>
              <w:rPr>
                <w:rFonts w:hint="eastAsia" w:ascii="宋体" w:hAnsi="宋体" w:eastAsia="宋体" w:cs="宋体"/>
                <w:color w:val="auto"/>
                <w:sz w:val="24"/>
                <w:szCs w:val="24"/>
                <w:highlight w:val="none"/>
                <w:shd w:val="clear" w:color="auto" w:fill="auto"/>
                <w:lang w:val="en-US" w:eastAsia="zh-CN"/>
              </w:rPr>
              <w:t xml:space="preserve">    </w:t>
            </w:r>
          </w:p>
          <w:p w14:paraId="0209482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联系方式：15966210718</w:t>
            </w:r>
          </w:p>
        </w:tc>
      </w:tr>
      <w:tr w14:paraId="2B1A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50" w:type="dxa"/>
            <w:vAlign w:val="center"/>
          </w:tcPr>
          <w:p w14:paraId="23842DB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4</w:t>
            </w:r>
          </w:p>
        </w:tc>
        <w:tc>
          <w:tcPr>
            <w:tcW w:w="1907" w:type="dxa"/>
            <w:vAlign w:val="center"/>
          </w:tcPr>
          <w:p w14:paraId="2827D92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采购代理机构</w:t>
            </w:r>
          </w:p>
        </w:tc>
        <w:tc>
          <w:tcPr>
            <w:tcW w:w="6794" w:type="dxa"/>
            <w:vAlign w:val="center"/>
          </w:tcPr>
          <w:p w14:paraId="7A6F562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采购代理机构：疆海工程项目管理有限公司</w:t>
            </w:r>
          </w:p>
          <w:p w14:paraId="66904AA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联系人：崔长进</w:t>
            </w:r>
          </w:p>
          <w:p w14:paraId="33E1D12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联系方式：18866573602</w:t>
            </w:r>
          </w:p>
          <w:p w14:paraId="4A366C1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地址：聊城市开发区星美大厦1栋13楼1324室</w:t>
            </w:r>
          </w:p>
          <w:p w14:paraId="6A028689">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邮箱：</w:t>
            </w:r>
            <w:r>
              <w:rPr>
                <w:rFonts w:hint="eastAsia" w:ascii="宋体" w:hAnsi="宋体" w:eastAsia="宋体" w:cs="宋体"/>
                <w:color w:val="auto"/>
                <w:sz w:val="24"/>
                <w:szCs w:val="24"/>
                <w:highlight w:val="none"/>
                <w:shd w:val="clear" w:color="auto" w:fill="auto"/>
                <w:lang w:val="en-US" w:eastAsia="zh-CN"/>
              </w:rPr>
              <w:t>531448293@qq.com</w:t>
            </w:r>
          </w:p>
        </w:tc>
      </w:tr>
      <w:tr w14:paraId="6543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0" w:type="dxa"/>
            <w:vAlign w:val="center"/>
          </w:tcPr>
          <w:p w14:paraId="5A6305CD">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bookmarkStart w:id="5" w:name="OLE_LINK35" w:colFirst="1" w:colLast="2"/>
            <w:r>
              <w:rPr>
                <w:rFonts w:hint="eastAsia" w:ascii="宋体" w:hAnsi="宋体" w:eastAsia="宋体" w:cs="宋体"/>
                <w:color w:val="auto"/>
                <w:sz w:val="24"/>
                <w:szCs w:val="24"/>
                <w:highlight w:val="none"/>
                <w:shd w:val="clear" w:color="auto" w:fill="auto"/>
                <w:lang w:val="en-US" w:eastAsia="zh-CN"/>
              </w:rPr>
              <w:t>5</w:t>
            </w:r>
          </w:p>
        </w:tc>
        <w:tc>
          <w:tcPr>
            <w:tcW w:w="1907" w:type="dxa"/>
            <w:vAlign w:val="center"/>
          </w:tcPr>
          <w:p w14:paraId="3384743F">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建设地点</w:t>
            </w:r>
          </w:p>
        </w:tc>
        <w:tc>
          <w:tcPr>
            <w:tcW w:w="6794" w:type="dxa"/>
            <w:vAlign w:val="center"/>
          </w:tcPr>
          <w:p w14:paraId="22918FC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采购人指定地点</w:t>
            </w:r>
          </w:p>
        </w:tc>
      </w:tr>
      <w:tr w14:paraId="395D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0" w:type="dxa"/>
            <w:vAlign w:val="center"/>
          </w:tcPr>
          <w:p w14:paraId="04DF7C1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6</w:t>
            </w:r>
          </w:p>
        </w:tc>
        <w:tc>
          <w:tcPr>
            <w:tcW w:w="1907" w:type="dxa"/>
            <w:vAlign w:val="center"/>
          </w:tcPr>
          <w:p w14:paraId="3A9126BF">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采购控制价</w:t>
            </w:r>
          </w:p>
        </w:tc>
        <w:tc>
          <w:tcPr>
            <w:tcW w:w="6794" w:type="dxa"/>
            <w:vAlign w:val="center"/>
          </w:tcPr>
          <w:p w14:paraId="62235744">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预算金额：25万元</w:t>
            </w:r>
          </w:p>
          <w:p w14:paraId="17C89756">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供应商的投标报价不得高于以上预算控制价，否则将视其为无效报价，不予进入评审。</w:t>
            </w:r>
          </w:p>
        </w:tc>
      </w:tr>
      <w:tr w14:paraId="3B1C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0" w:type="dxa"/>
            <w:vAlign w:val="center"/>
          </w:tcPr>
          <w:p w14:paraId="3863586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7</w:t>
            </w:r>
          </w:p>
        </w:tc>
        <w:tc>
          <w:tcPr>
            <w:tcW w:w="1907" w:type="dxa"/>
            <w:vAlign w:val="center"/>
          </w:tcPr>
          <w:p w14:paraId="78D67549">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eastAsia="zh-CN"/>
              </w:rPr>
              <w:t>标段划分</w:t>
            </w:r>
          </w:p>
        </w:tc>
        <w:tc>
          <w:tcPr>
            <w:tcW w:w="6794" w:type="dxa"/>
            <w:vAlign w:val="center"/>
          </w:tcPr>
          <w:p w14:paraId="6AECE654">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共分一个标段</w:t>
            </w:r>
          </w:p>
        </w:tc>
      </w:tr>
      <w:tr w14:paraId="1460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0" w:type="dxa"/>
            <w:vAlign w:val="center"/>
          </w:tcPr>
          <w:p w14:paraId="78E9DF40">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8</w:t>
            </w:r>
          </w:p>
        </w:tc>
        <w:tc>
          <w:tcPr>
            <w:tcW w:w="1907" w:type="dxa"/>
            <w:vAlign w:val="center"/>
          </w:tcPr>
          <w:p w14:paraId="4D560F95">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质量标准</w:t>
            </w:r>
          </w:p>
        </w:tc>
        <w:tc>
          <w:tcPr>
            <w:tcW w:w="6794" w:type="dxa"/>
            <w:vAlign w:val="center"/>
          </w:tcPr>
          <w:p w14:paraId="014EAC2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合格，符合相关国家主管部门和行业标准。</w:t>
            </w:r>
          </w:p>
        </w:tc>
      </w:tr>
      <w:tr w14:paraId="707D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0" w:type="dxa"/>
            <w:vAlign w:val="center"/>
          </w:tcPr>
          <w:p w14:paraId="5CDC5A4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9</w:t>
            </w:r>
          </w:p>
        </w:tc>
        <w:tc>
          <w:tcPr>
            <w:tcW w:w="1907" w:type="dxa"/>
            <w:vAlign w:val="center"/>
          </w:tcPr>
          <w:p w14:paraId="5F641573">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eastAsia="zh-CN"/>
              </w:rPr>
              <w:t>采购</w:t>
            </w:r>
            <w:r>
              <w:rPr>
                <w:rFonts w:hint="eastAsia" w:ascii="宋体" w:hAnsi="宋体" w:eastAsia="宋体" w:cs="宋体"/>
                <w:color w:val="auto"/>
                <w:sz w:val="24"/>
                <w:szCs w:val="24"/>
                <w:highlight w:val="none"/>
                <w:shd w:val="clear" w:color="auto" w:fill="auto"/>
              </w:rPr>
              <w:t>方式</w:t>
            </w:r>
          </w:p>
        </w:tc>
        <w:tc>
          <w:tcPr>
            <w:tcW w:w="6794" w:type="dxa"/>
            <w:vAlign w:val="center"/>
          </w:tcPr>
          <w:p w14:paraId="155B3309">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eastAsia="zh-CN"/>
              </w:rPr>
              <w:t>竞争性磋商</w:t>
            </w:r>
          </w:p>
        </w:tc>
      </w:tr>
      <w:tr w14:paraId="4471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0" w:type="dxa"/>
            <w:vAlign w:val="center"/>
          </w:tcPr>
          <w:p w14:paraId="1221678C">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10</w:t>
            </w:r>
          </w:p>
        </w:tc>
        <w:tc>
          <w:tcPr>
            <w:tcW w:w="1907" w:type="dxa"/>
            <w:shd w:val="clear" w:color="auto" w:fill="auto"/>
            <w:vAlign w:val="center"/>
          </w:tcPr>
          <w:p w14:paraId="3D1BB156">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供应商资格要求</w:t>
            </w:r>
          </w:p>
        </w:tc>
        <w:tc>
          <w:tcPr>
            <w:tcW w:w="6794" w:type="dxa"/>
            <w:shd w:val="clear" w:color="auto" w:fill="auto"/>
            <w:vAlign w:val="center"/>
          </w:tcPr>
          <w:p w14:paraId="02AFB7D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见采购公告</w:t>
            </w:r>
          </w:p>
        </w:tc>
      </w:tr>
      <w:tr w14:paraId="3D57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0" w:type="dxa"/>
            <w:vAlign w:val="center"/>
          </w:tcPr>
          <w:p w14:paraId="32A962CE">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11</w:t>
            </w:r>
          </w:p>
        </w:tc>
        <w:tc>
          <w:tcPr>
            <w:tcW w:w="1907" w:type="dxa"/>
            <w:shd w:val="clear" w:color="auto" w:fill="auto"/>
            <w:vAlign w:val="center"/>
          </w:tcPr>
          <w:p w14:paraId="0FDA2070">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资格审查方式</w:t>
            </w:r>
          </w:p>
        </w:tc>
        <w:tc>
          <w:tcPr>
            <w:tcW w:w="6794" w:type="dxa"/>
            <w:shd w:val="clear" w:color="auto" w:fill="auto"/>
            <w:vAlign w:val="center"/>
          </w:tcPr>
          <w:p w14:paraId="3DE78C3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资格后审</w:t>
            </w:r>
          </w:p>
        </w:tc>
      </w:tr>
      <w:bookmarkEnd w:id="5"/>
      <w:tr w14:paraId="1C0F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50" w:type="dxa"/>
            <w:vAlign w:val="center"/>
          </w:tcPr>
          <w:p w14:paraId="4AC66DD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2</w:t>
            </w:r>
          </w:p>
        </w:tc>
        <w:tc>
          <w:tcPr>
            <w:tcW w:w="1907" w:type="dxa"/>
            <w:shd w:val="clear" w:color="auto" w:fill="auto"/>
            <w:vAlign w:val="center"/>
          </w:tcPr>
          <w:p w14:paraId="7870EB45">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rPr>
              <w:t>资金来源</w:t>
            </w:r>
          </w:p>
        </w:tc>
        <w:tc>
          <w:tcPr>
            <w:tcW w:w="6794" w:type="dxa"/>
            <w:shd w:val="clear" w:color="auto" w:fill="auto"/>
            <w:vAlign w:val="center"/>
          </w:tcPr>
          <w:p w14:paraId="5BA6FF59">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财政资金</w:t>
            </w:r>
          </w:p>
        </w:tc>
      </w:tr>
      <w:tr w14:paraId="6B96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6CE8D403">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3</w:t>
            </w:r>
          </w:p>
        </w:tc>
        <w:tc>
          <w:tcPr>
            <w:tcW w:w="1907" w:type="dxa"/>
            <w:shd w:val="clear" w:color="auto" w:fill="auto"/>
            <w:vAlign w:val="center"/>
          </w:tcPr>
          <w:p w14:paraId="172F2C16">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付款方式</w:t>
            </w:r>
          </w:p>
        </w:tc>
        <w:tc>
          <w:tcPr>
            <w:tcW w:w="6794" w:type="dxa"/>
            <w:shd w:val="clear" w:color="auto" w:fill="auto"/>
            <w:vAlign w:val="center"/>
          </w:tcPr>
          <w:p w14:paraId="1E3CCC90">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项目完成且通过验收，支付至合同价款的97%；验收满一年后，无息支付剩余货款。（负偏离按无效投标处理）</w:t>
            </w:r>
          </w:p>
        </w:tc>
      </w:tr>
      <w:tr w14:paraId="1E63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3D5E8380">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4</w:t>
            </w:r>
          </w:p>
        </w:tc>
        <w:tc>
          <w:tcPr>
            <w:tcW w:w="1907" w:type="dxa"/>
            <w:shd w:val="clear" w:color="auto" w:fill="auto"/>
            <w:vAlign w:val="center"/>
          </w:tcPr>
          <w:p w14:paraId="10EBD90B">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交货期</w:t>
            </w:r>
          </w:p>
        </w:tc>
        <w:tc>
          <w:tcPr>
            <w:tcW w:w="6794" w:type="dxa"/>
            <w:shd w:val="clear" w:color="auto" w:fill="auto"/>
            <w:vAlign w:val="center"/>
          </w:tcPr>
          <w:p w14:paraId="234D02DB">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自签订合同之日起30日内保证产品安装调试完毕，交付使用。</w:t>
            </w:r>
          </w:p>
          <w:p w14:paraId="66E22298">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货到后由采购人对到货产品进场随机抽检，抽检不合格不得进行安装，由此造成的工期延误由成交供应商自行承担。</w:t>
            </w:r>
          </w:p>
        </w:tc>
      </w:tr>
      <w:tr w14:paraId="65E0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4267B07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15</w:t>
            </w:r>
          </w:p>
        </w:tc>
        <w:tc>
          <w:tcPr>
            <w:tcW w:w="1907" w:type="dxa"/>
            <w:shd w:val="clear" w:color="auto" w:fill="auto"/>
            <w:vAlign w:val="center"/>
          </w:tcPr>
          <w:p w14:paraId="4CCAD657">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质保期</w:t>
            </w:r>
          </w:p>
        </w:tc>
        <w:tc>
          <w:tcPr>
            <w:tcW w:w="6794" w:type="dxa"/>
            <w:shd w:val="clear" w:color="auto" w:fill="auto"/>
            <w:vAlign w:val="center"/>
          </w:tcPr>
          <w:p w14:paraId="23E6FCB1">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质保期3年，质保期为货物验收合格、调试安装完毕后，投入正常使用之日开始计算。</w:t>
            </w:r>
          </w:p>
        </w:tc>
      </w:tr>
      <w:tr w14:paraId="4BCB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569149B3">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16</w:t>
            </w:r>
          </w:p>
        </w:tc>
        <w:tc>
          <w:tcPr>
            <w:tcW w:w="1907" w:type="dxa"/>
            <w:shd w:val="clear" w:color="auto" w:fill="auto"/>
            <w:vAlign w:val="center"/>
          </w:tcPr>
          <w:p w14:paraId="7E763DCF">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结算方式</w:t>
            </w:r>
          </w:p>
        </w:tc>
        <w:tc>
          <w:tcPr>
            <w:tcW w:w="6794" w:type="dxa"/>
            <w:shd w:val="clear" w:color="auto" w:fill="auto"/>
            <w:vAlign w:val="center"/>
          </w:tcPr>
          <w:p w14:paraId="58C7D0A5">
            <w:pPr>
              <w:keepNext w:val="0"/>
              <w:keepLines w:val="0"/>
              <w:pageBreakBefore w:val="0"/>
              <w:widowControl w:val="0"/>
              <w:tabs>
                <w:tab w:val="left" w:pos="2226"/>
              </w:tabs>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根据实际设备数量据实结算。</w:t>
            </w:r>
          </w:p>
        </w:tc>
      </w:tr>
      <w:tr w14:paraId="682F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2B3EC81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17</w:t>
            </w:r>
          </w:p>
        </w:tc>
        <w:tc>
          <w:tcPr>
            <w:tcW w:w="1907" w:type="dxa"/>
            <w:shd w:val="clear" w:color="auto" w:fill="auto"/>
            <w:vAlign w:val="center"/>
          </w:tcPr>
          <w:p w14:paraId="443853EB">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报价有效期</w:t>
            </w:r>
          </w:p>
        </w:tc>
        <w:tc>
          <w:tcPr>
            <w:tcW w:w="6794" w:type="dxa"/>
            <w:shd w:val="clear" w:color="auto" w:fill="auto"/>
            <w:vAlign w:val="center"/>
          </w:tcPr>
          <w:p w14:paraId="57113EC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90日历日</w:t>
            </w:r>
          </w:p>
        </w:tc>
      </w:tr>
      <w:tr w14:paraId="7672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5DC5D46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18</w:t>
            </w:r>
          </w:p>
        </w:tc>
        <w:tc>
          <w:tcPr>
            <w:tcW w:w="1907" w:type="dxa"/>
            <w:shd w:val="clear" w:color="auto" w:fill="auto"/>
            <w:vAlign w:val="center"/>
          </w:tcPr>
          <w:p w14:paraId="62A9E582">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代理服务费用</w:t>
            </w:r>
          </w:p>
        </w:tc>
        <w:tc>
          <w:tcPr>
            <w:tcW w:w="6794" w:type="dxa"/>
            <w:shd w:val="clear" w:color="auto" w:fill="auto"/>
            <w:vAlign w:val="center"/>
          </w:tcPr>
          <w:p w14:paraId="70E2AC5A">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自成交结果公告之日起三日内由成交人按照鲁招协【2024】13号文货物类标准向采购代理机构交纳招标代理服务费，不足5000元的，按5000元计取。</w:t>
            </w:r>
          </w:p>
          <w:p w14:paraId="253AFE68">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账户名称：疆海工程项目管理有限公司聊城分公司</w:t>
            </w:r>
          </w:p>
          <w:p w14:paraId="5A10E241">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开户银行：中国银行股份有限公司聊城新时代广场支行</w:t>
            </w:r>
          </w:p>
          <w:p w14:paraId="67DAB701">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账号：222144678731</w:t>
            </w:r>
          </w:p>
          <w:p w14:paraId="77B51FE7">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bCs/>
                <w:color w:val="auto"/>
                <w:kern w:val="2"/>
                <w:sz w:val="24"/>
                <w:szCs w:val="24"/>
                <w:highlight w:val="none"/>
                <w:shd w:val="clear" w:color="auto" w:fill="auto"/>
                <w:lang w:val="en-US" w:eastAsia="zh-CN" w:bidi="ar-SA"/>
              </w:rPr>
              <w:t>代理费交纳后由采购代理机构协助采购人和成交供应商签订合同。因未交纳代理费而导致的一切后果由成交人自行承担。</w:t>
            </w:r>
          </w:p>
        </w:tc>
      </w:tr>
      <w:tr w14:paraId="6843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5727AEF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20</w:t>
            </w:r>
          </w:p>
        </w:tc>
        <w:tc>
          <w:tcPr>
            <w:tcW w:w="1907" w:type="dxa"/>
            <w:shd w:val="clear" w:color="auto" w:fill="auto"/>
            <w:vAlign w:val="center"/>
          </w:tcPr>
          <w:p w14:paraId="65BBD75E">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投标保证金</w:t>
            </w:r>
          </w:p>
        </w:tc>
        <w:tc>
          <w:tcPr>
            <w:tcW w:w="6794" w:type="dxa"/>
            <w:shd w:val="clear" w:color="auto" w:fill="auto"/>
            <w:vAlign w:val="center"/>
          </w:tcPr>
          <w:p w14:paraId="2FC6C1FB">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无</w:t>
            </w:r>
          </w:p>
        </w:tc>
      </w:tr>
      <w:tr w14:paraId="78AC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6625B636">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21</w:t>
            </w:r>
          </w:p>
        </w:tc>
        <w:tc>
          <w:tcPr>
            <w:tcW w:w="1907" w:type="dxa"/>
            <w:shd w:val="clear" w:color="auto" w:fill="auto"/>
            <w:vAlign w:val="center"/>
          </w:tcPr>
          <w:p w14:paraId="0B59A6A6">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答疑安排</w:t>
            </w:r>
          </w:p>
        </w:tc>
        <w:tc>
          <w:tcPr>
            <w:tcW w:w="6794" w:type="dxa"/>
            <w:shd w:val="clear" w:color="auto" w:fill="auto"/>
            <w:vAlign w:val="center"/>
          </w:tcPr>
          <w:p w14:paraId="5E3F1892">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left"/>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供应商对</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踏勘现场有询问或者疑问，需采购人或代理机构解答或者答疑时，应于获取采购文件1日内，直接联系代理公司并提出疑问，供应商应以加盖本单位公章的书面文件提出，同时将电子版文件以电子邮件的形式发送至</w:t>
            </w:r>
            <w:r>
              <w:rPr>
                <w:rFonts w:hint="eastAsia" w:ascii="宋体" w:hAnsi="宋体" w:eastAsia="宋体" w:cs="宋体"/>
                <w:color w:val="auto"/>
                <w:sz w:val="24"/>
                <w:szCs w:val="24"/>
                <w:highlight w:val="none"/>
                <w:shd w:val="clear" w:color="auto" w:fill="auto"/>
                <w:lang w:eastAsia="zh-CN"/>
              </w:rPr>
              <w:t>531448293@qq.com</w:t>
            </w:r>
            <w:r>
              <w:rPr>
                <w:rFonts w:hint="eastAsia" w:ascii="宋体" w:hAnsi="宋体" w:eastAsia="宋体" w:cs="宋体"/>
                <w:color w:val="auto"/>
                <w:sz w:val="24"/>
                <w:szCs w:val="24"/>
                <w:highlight w:val="none"/>
                <w:shd w:val="clear" w:color="auto" w:fill="auto"/>
              </w:rPr>
              <w:t>。我代理机构根据项目的实际情况或供应商提出的问题，决定是否对</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进行澄清说明或补充修改，澄清说明或者补充修改通过邮箱发布并电话通知已领取文件的潜在供应商，发布之日即视为已通知所有获取</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的供应商，各供应商应随时关注邮箱内澄清答疑，否则所造成的一切后果由供应商自负。补充文件作为</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的组成部分，对所有供应商具有最终约束力。</w:t>
            </w:r>
          </w:p>
          <w:p w14:paraId="3EEDA1BA">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left"/>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rPr>
              <w:t>供应商未在规定时间内提出询问或者疑问，视为认同</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以及答疑文件内的所有要求，供应商未按照</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、解答或者答疑要求报价的，后果自负。</w:t>
            </w:r>
          </w:p>
        </w:tc>
      </w:tr>
      <w:tr w14:paraId="28E8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6380A352">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22</w:t>
            </w:r>
          </w:p>
        </w:tc>
        <w:tc>
          <w:tcPr>
            <w:tcW w:w="1907" w:type="dxa"/>
            <w:shd w:val="clear" w:color="auto" w:fill="auto"/>
            <w:vAlign w:val="center"/>
          </w:tcPr>
          <w:p w14:paraId="5DAEF46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rPr>
              <w:t>勘察现场</w:t>
            </w:r>
          </w:p>
        </w:tc>
        <w:tc>
          <w:tcPr>
            <w:tcW w:w="6794" w:type="dxa"/>
            <w:shd w:val="clear" w:color="auto" w:fill="auto"/>
            <w:vAlign w:val="center"/>
          </w:tcPr>
          <w:p w14:paraId="15003B1A">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textAlignment w:val="auto"/>
              <w:outlineLvl w:val="9"/>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采购人不统一组织踏勘现场。</w:t>
            </w:r>
          </w:p>
          <w:p w14:paraId="248AADE3">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textAlignment w:val="auto"/>
              <w:outlineLvl w:val="9"/>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1、供应商可自行对项目和周围环境进行现场勘察，以获得有关编制响应文件和签署合同所需的资料。不论报价中是否含有踏勘现场显示的所有项目内容，均视其已包含在其报价中。</w:t>
            </w:r>
            <w:r>
              <w:rPr>
                <w:rFonts w:hint="eastAsia" w:ascii="宋体" w:hAnsi="宋体" w:eastAsia="宋体" w:cs="宋体"/>
                <w:b/>
                <w:bCs/>
                <w:color w:val="auto"/>
                <w:kern w:val="0"/>
                <w:sz w:val="24"/>
                <w:szCs w:val="24"/>
                <w:highlight w:val="none"/>
                <w:shd w:val="clear" w:color="auto" w:fill="auto"/>
                <w:lang w:val="en-US" w:eastAsia="zh-CN"/>
              </w:rPr>
              <w:t>（凡因不勘察现场造成的不确定因素，不得纳入后期变更事项。）</w:t>
            </w:r>
          </w:p>
          <w:p w14:paraId="5A1893A9">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textAlignment w:val="auto"/>
              <w:outlineLvl w:val="9"/>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2、勘察现场所发生的费用全部由供应商自行承担。</w:t>
            </w:r>
          </w:p>
          <w:p w14:paraId="35FBFF20">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textAlignment w:val="auto"/>
              <w:outlineLvl w:val="9"/>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rPr>
              <w:t>3、在现场勘察中由采购人提供的资料和数据只是使供应商能够充分的利用采购人现有的资料，供应商由此作出的推论、解释、结论等采购人概不负责。</w:t>
            </w:r>
          </w:p>
        </w:tc>
      </w:tr>
      <w:tr w14:paraId="5261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422A27CD">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val="0"/>
                <w:bCs w:val="0"/>
                <w:color w:val="auto"/>
                <w:sz w:val="24"/>
                <w:szCs w:val="24"/>
                <w:highlight w:val="none"/>
                <w:shd w:val="clear" w:color="auto" w:fill="auto"/>
                <w:lang w:val="en-US" w:eastAsia="zh-CN"/>
              </w:rPr>
              <w:t>23</w:t>
            </w:r>
          </w:p>
        </w:tc>
        <w:tc>
          <w:tcPr>
            <w:tcW w:w="1907" w:type="dxa"/>
            <w:shd w:val="clear" w:color="auto" w:fill="auto"/>
            <w:vAlign w:val="center"/>
          </w:tcPr>
          <w:p w14:paraId="55DFA4E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kern w:val="0"/>
                <w:sz w:val="24"/>
                <w:szCs w:val="24"/>
                <w:highlight w:val="none"/>
                <w:shd w:val="clear" w:color="auto" w:fill="auto"/>
                <w:lang w:val="en-US" w:eastAsia="zh-CN" w:bidi="ar-SA"/>
              </w:rPr>
            </w:pPr>
            <w:r>
              <w:rPr>
                <w:rFonts w:hint="eastAsia" w:ascii="宋体" w:hAnsi="宋体" w:eastAsia="宋体" w:cs="宋体"/>
                <w:b w:val="0"/>
                <w:bCs w:val="0"/>
                <w:color w:val="auto"/>
                <w:kern w:val="0"/>
                <w:sz w:val="24"/>
                <w:szCs w:val="24"/>
                <w:highlight w:val="none"/>
                <w:shd w:val="clear" w:color="auto" w:fill="auto"/>
                <w:lang w:val="en-US" w:eastAsia="zh-CN"/>
              </w:rPr>
              <w:t>递交响应文件形式及地点</w:t>
            </w:r>
          </w:p>
        </w:tc>
        <w:tc>
          <w:tcPr>
            <w:tcW w:w="6794" w:type="dxa"/>
            <w:shd w:val="clear" w:color="auto" w:fill="auto"/>
            <w:vAlign w:val="center"/>
          </w:tcPr>
          <w:p w14:paraId="5156224A">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kern w:val="0"/>
                <w:sz w:val="24"/>
                <w:szCs w:val="24"/>
                <w:highlight w:val="none"/>
                <w:shd w:val="clear" w:color="auto" w:fill="auto"/>
                <w:lang w:val="en-US" w:eastAsia="zh-CN" w:bidi="ar-SA"/>
              </w:rPr>
            </w:pPr>
            <w:r>
              <w:rPr>
                <w:rFonts w:hint="eastAsia" w:ascii="宋体" w:hAnsi="宋体" w:eastAsia="宋体" w:cs="宋体"/>
                <w:b w:val="0"/>
                <w:bCs w:val="0"/>
                <w:color w:val="auto"/>
                <w:kern w:val="0"/>
                <w:sz w:val="24"/>
                <w:szCs w:val="24"/>
                <w:highlight w:val="none"/>
                <w:shd w:val="clear" w:color="auto" w:fill="auto"/>
                <w:lang w:val="en-US" w:eastAsia="zh-CN"/>
              </w:rPr>
              <w:t>详见采购公告</w:t>
            </w:r>
          </w:p>
        </w:tc>
      </w:tr>
      <w:tr w14:paraId="4516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3BFB6A2F">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val="0"/>
                <w:bCs w:val="0"/>
                <w:color w:val="auto"/>
                <w:sz w:val="24"/>
                <w:szCs w:val="24"/>
                <w:highlight w:val="none"/>
                <w:shd w:val="clear" w:color="auto" w:fill="auto"/>
                <w:lang w:val="en-US" w:eastAsia="zh-CN"/>
              </w:rPr>
              <w:t>24</w:t>
            </w:r>
          </w:p>
        </w:tc>
        <w:tc>
          <w:tcPr>
            <w:tcW w:w="1907" w:type="dxa"/>
            <w:shd w:val="clear" w:color="auto" w:fill="auto"/>
            <w:vAlign w:val="center"/>
          </w:tcPr>
          <w:p w14:paraId="17209F7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kern w:val="0"/>
                <w:sz w:val="24"/>
                <w:szCs w:val="24"/>
                <w:highlight w:val="none"/>
                <w:shd w:val="clear" w:color="auto" w:fill="auto"/>
                <w:lang w:val="en-US" w:eastAsia="zh-CN" w:bidi="ar-SA"/>
              </w:rPr>
            </w:pPr>
            <w:r>
              <w:rPr>
                <w:rFonts w:hint="eastAsia" w:ascii="宋体" w:hAnsi="宋体" w:eastAsia="宋体" w:cs="宋体"/>
                <w:b w:val="0"/>
                <w:bCs w:val="0"/>
                <w:color w:val="auto"/>
                <w:kern w:val="0"/>
                <w:sz w:val="24"/>
                <w:szCs w:val="24"/>
                <w:highlight w:val="none"/>
                <w:shd w:val="clear" w:color="auto" w:fill="auto"/>
                <w:lang w:val="en-US" w:eastAsia="zh-CN"/>
              </w:rPr>
              <w:t>响应文件签署</w:t>
            </w:r>
          </w:p>
        </w:tc>
        <w:tc>
          <w:tcPr>
            <w:tcW w:w="6794" w:type="dxa"/>
            <w:shd w:val="clear" w:color="auto" w:fill="auto"/>
            <w:vAlign w:val="center"/>
          </w:tcPr>
          <w:p w14:paraId="06127584">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kern w:val="0"/>
                <w:sz w:val="24"/>
                <w:szCs w:val="24"/>
                <w:highlight w:val="none"/>
                <w:shd w:val="clear" w:color="auto" w:fill="auto"/>
                <w:lang w:val="en-US" w:eastAsia="zh-CN" w:bidi="ar-SA"/>
              </w:rPr>
            </w:pPr>
            <w:r>
              <w:rPr>
                <w:rFonts w:hint="eastAsia" w:ascii="宋体" w:hAnsi="宋体" w:eastAsia="宋体" w:cs="宋体"/>
                <w:b w:val="0"/>
                <w:bCs w:val="0"/>
                <w:color w:val="auto"/>
                <w:kern w:val="0"/>
                <w:sz w:val="24"/>
                <w:szCs w:val="24"/>
                <w:highlight w:val="none"/>
                <w:shd w:val="clear" w:color="auto" w:fill="auto"/>
                <w:lang w:val="en-US" w:eastAsia="zh-CN"/>
              </w:rPr>
              <w:t>要求供应商法定代表人或其授权代表签字处，均须本人用黑色中性签字笔签署（包括姓和名），不得使用签名章、签字章等代替。否则其投标无效。</w:t>
            </w:r>
          </w:p>
        </w:tc>
      </w:tr>
      <w:tr w14:paraId="6DCA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261D1F3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val="0"/>
                <w:bCs w:val="0"/>
                <w:color w:val="auto"/>
                <w:sz w:val="24"/>
                <w:szCs w:val="24"/>
                <w:highlight w:val="none"/>
                <w:shd w:val="clear" w:color="auto" w:fill="auto"/>
                <w:lang w:val="en-US" w:eastAsia="zh-CN"/>
              </w:rPr>
              <w:t>25</w:t>
            </w:r>
          </w:p>
        </w:tc>
        <w:tc>
          <w:tcPr>
            <w:tcW w:w="1907" w:type="dxa"/>
            <w:shd w:val="clear" w:color="auto" w:fill="auto"/>
            <w:vAlign w:val="center"/>
          </w:tcPr>
          <w:p w14:paraId="41FF8F0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kern w:val="0"/>
                <w:sz w:val="24"/>
                <w:szCs w:val="24"/>
                <w:highlight w:val="none"/>
                <w:shd w:val="clear" w:color="auto" w:fill="auto"/>
                <w:lang w:val="en-US" w:eastAsia="zh-CN" w:bidi="ar-SA"/>
              </w:rPr>
            </w:pPr>
            <w:r>
              <w:rPr>
                <w:rFonts w:hint="eastAsia" w:ascii="宋体" w:hAnsi="宋体" w:eastAsia="宋体" w:cs="宋体"/>
                <w:b w:val="0"/>
                <w:bCs w:val="0"/>
                <w:color w:val="auto"/>
                <w:kern w:val="0"/>
                <w:sz w:val="24"/>
                <w:szCs w:val="24"/>
                <w:highlight w:val="none"/>
                <w:shd w:val="clear" w:color="auto" w:fill="auto"/>
                <w:lang w:val="en-US" w:eastAsia="zh-CN"/>
              </w:rPr>
              <w:t>响应文件盖章</w:t>
            </w:r>
          </w:p>
        </w:tc>
        <w:tc>
          <w:tcPr>
            <w:tcW w:w="6794" w:type="dxa"/>
            <w:shd w:val="clear" w:color="auto" w:fill="auto"/>
            <w:vAlign w:val="center"/>
          </w:tcPr>
          <w:p w14:paraId="7235C4ED">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kern w:val="0"/>
                <w:sz w:val="24"/>
                <w:szCs w:val="24"/>
                <w:highlight w:val="none"/>
                <w:shd w:val="clear" w:color="auto" w:fill="auto"/>
                <w:lang w:val="en-US" w:eastAsia="zh-CN" w:bidi="ar-SA"/>
              </w:rPr>
            </w:pPr>
            <w:r>
              <w:rPr>
                <w:rFonts w:hint="eastAsia" w:ascii="宋体" w:hAnsi="宋体" w:eastAsia="宋体" w:cs="宋体"/>
                <w:b w:val="0"/>
                <w:bCs w:val="0"/>
                <w:color w:val="auto"/>
                <w:kern w:val="0"/>
                <w:sz w:val="24"/>
                <w:szCs w:val="24"/>
                <w:highlight w:val="none"/>
                <w:shd w:val="clear" w:color="auto" w:fill="auto"/>
                <w:lang w:val="en-US" w:eastAsia="zh-CN"/>
              </w:rPr>
              <w:t>响应文件以及相关书面文件中的单位盖章（包括印章、公章等）均指与供应商名称全称相一致的标准公章，不得使用其他形式（如带有“专用章”、“合同章”、“财务章”、“业务章”等）的印章，否则其投标无效。</w:t>
            </w:r>
          </w:p>
        </w:tc>
      </w:tr>
      <w:tr w14:paraId="336A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62F35CA9">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26</w:t>
            </w:r>
          </w:p>
        </w:tc>
        <w:tc>
          <w:tcPr>
            <w:tcW w:w="1907" w:type="dxa"/>
            <w:shd w:val="clear" w:color="auto" w:fill="auto"/>
            <w:vAlign w:val="center"/>
          </w:tcPr>
          <w:p w14:paraId="39598C1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kern w:val="0"/>
                <w:sz w:val="24"/>
                <w:szCs w:val="24"/>
                <w:highlight w:val="none"/>
                <w:shd w:val="clear" w:color="auto" w:fill="auto"/>
                <w:lang w:val="en-US" w:eastAsia="zh-CN" w:bidi="ar-SA"/>
              </w:rPr>
            </w:pPr>
            <w:r>
              <w:rPr>
                <w:rFonts w:hint="eastAsia" w:ascii="宋体" w:hAnsi="宋体" w:eastAsia="宋体" w:cs="宋体"/>
                <w:b w:val="0"/>
                <w:bCs w:val="0"/>
                <w:color w:val="auto"/>
                <w:kern w:val="0"/>
                <w:sz w:val="24"/>
                <w:szCs w:val="24"/>
                <w:highlight w:val="none"/>
                <w:shd w:val="clear" w:color="auto" w:fill="auto"/>
                <w:lang w:val="en-US" w:eastAsia="zh-CN"/>
              </w:rPr>
              <w:t>响应文件份数</w:t>
            </w:r>
          </w:p>
        </w:tc>
        <w:tc>
          <w:tcPr>
            <w:tcW w:w="6794" w:type="dxa"/>
            <w:shd w:val="clear" w:color="auto" w:fill="auto"/>
            <w:vAlign w:val="center"/>
          </w:tcPr>
          <w:p w14:paraId="07EA7030">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kern w:val="0"/>
                <w:sz w:val="24"/>
                <w:szCs w:val="24"/>
                <w:highlight w:val="none"/>
                <w:shd w:val="clear" w:color="auto" w:fill="auto"/>
                <w:lang w:val="en-US" w:eastAsia="zh-CN"/>
              </w:rPr>
            </w:pPr>
            <w:r>
              <w:rPr>
                <w:rFonts w:hint="eastAsia" w:ascii="宋体" w:hAnsi="宋体" w:eastAsia="宋体" w:cs="宋体"/>
                <w:b w:val="0"/>
                <w:bCs w:val="0"/>
                <w:color w:val="auto"/>
                <w:kern w:val="0"/>
                <w:sz w:val="24"/>
                <w:szCs w:val="24"/>
                <w:highlight w:val="none"/>
                <w:shd w:val="clear" w:color="auto" w:fill="auto"/>
                <w:lang w:val="en-US" w:eastAsia="zh-CN"/>
              </w:rPr>
              <w:t>（1）四份（一份正本，三份副本），密封提交；</w:t>
            </w:r>
          </w:p>
          <w:p w14:paraId="56A3F044">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kern w:val="0"/>
                <w:sz w:val="24"/>
                <w:szCs w:val="24"/>
                <w:highlight w:val="none"/>
                <w:shd w:val="clear" w:color="auto" w:fill="auto"/>
                <w:lang w:val="en-US" w:eastAsia="zh-CN"/>
              </w:rPr>
            </w:pPr>
            <w:r>
              <w:rPr>
                <w:rFonts w:hint="eastAsia" w:ascii="宋体" w:hAnsi="宋体" w:eastAsia="宋体" w:cs="宋体"/>
                <w:b w:val="0"/>
                <w:bCs w:val="0"/>
                <w:color w:val="auto"/>
                <w:kern w:val="0"/>
                <w:sz w:val="24"/>
                <w:szCs w:val="24"/>
                <w:highlight w:val="none"/>
                <w:shd w:val="clear" w:color="auto" w:fill="auto"/>
                <w:lang w:val="en-US" w:eastAsia="zh-CN"/>
              </w:rPr>
              <w:t>（2）报价一览表一份，单独密封；</w:t>
            </w:r>
          </w:p>
          <w:p w14:paraId="4997039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kern w:val="0"/>
                <w:sz w:val="24"/>
                <w:szCs w:val="24"/>
                <w:highlight w:val="none"/>
                <w:shd w:val="clear" w:color="auto" w:fill="auto"/>
                <w:lang w:val="en-US" w:eastAsia="zh-CN" w:bidi="ar-SA"/>
              </w:rPr>
            </w:pPr>
            <w:r>
              <w:rPr>
                <w:rFonts w:hint="eastAsia" w:ascii="宋体" w:hAnsi="宋体" w:eastAsia="宋体" w:cs="宋体"/>
                <w:b w:val="0"/>
                <w:bCs w:val="0"/>
                <w:color w:val="auto"/>
                <w:kern w:val="0"/>
                <w:sz w:val="24"/>
                <w:szCs w:val="24"/>
                <w:highlight w:val="none"/>
                <w:shd w:val="clear" w:color="auto" w:fill="auto"/>
                <w:lang w:val="en-US" w:eastAsia="zh-CN"/>
              </w:rPr>
              <w:t>（3）响应文件电子版一份（U盘），单独密封，其中电子文档格式为“WORD或EXCEL”，不能为“PDF”。【注：参标资料均不退还】</w:t>
            </w:r>
          </w:p>
        </w:tc>
      </w:tr>
      <w:tr w14:paraId="1A3E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0A142B6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27</w:t>
            </w:r>
          </w:p>
        </w:tc>
        <w:tc>
          <w:tcPr>
            <w:tcW w:w="1907" w:type="dxa"/>
            <w:shd w:val="clear" w:color="auto" w:fill="auto"/>
            <w:vAlign w:val="center"/>
          </w:tcPr>
          <w:p w14:paraId="70414B2D">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kern w:val="0"/>
                <w:sz w:val="24"/>
                <w:szCs w:val="24"/>
                <w:highlight w:val="none"/>
                <w:shd w:val="clear" w:color="auto" w:fill="auto"/>
                <w:lang w:val="en-US" w:eastAsia="zh-CN" w:bidi="ar-SA"/>
              </w:rPr>
            </w:pPr>
            <w:r>
              <w:rPr>
                <w:rFonts w:hint="eastAsia" w:ascii="宋体" w:hAnsi="宋体" w:eastAsia="宋体" w:cs="宋体"/>
                <w:b w:val="0"/>
                <w:bCs w:val="0"/>
                <w:color w:val="auto"/>
                <w:kern w:val="0"/>
                <w:sz w:val="24"/>
                <w:szCs w:val="24"/>
                <w:highlight w:val="none"/>
                <w:shd w:val="clear" w:color="auto" w:fill="auto"/>
                <w:lang w:val="en-US" w:eastAsia="zh-CN"/>
              </w:rPr>
              <w:t>装订要求</w:t>
            </w:r>
          </w:p>
        </w:tc>
        <w:tc>
          <w:tcPr>
            <w:tcW w:w="6794" w:type="dxa"/>
            <w:shd w:val="clear" w:color="auto" w:fill="auto"/>
            <w:vAlign w:val="center"/>
          </w:tcPr>
          <w:p w14:paraId="74A0E562">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kern w:val="0"/>
                <w:sz w:val="24"/>
                <w:szCs w:val="24"/>
                <w:highlight w:val="none"/>
                <w:shd w:val="clear" w:color="auto" w:fill="auto"/>
                <w:lang w:val="en-US" w:eastAsia="zh-CN" w:bidi="ar-SA"/>
              </w:rPr>
            </w:pPr>
            <w:r>
              <w:rPr>
                <w:rFonts w:hint="eastAsia" w:ascii="宋体" w:hAnsi="宋体" w:eastAsia="宋体" w:cs="宋体"/>
                <w:b w:val="0"/>
                <w:bCs w:val="0"/>
                <w:color w:val="auto"/>
                <w:kern w:val="0"/>
                <w:sz w:val="24"/>
                <w:szCs w:val="24"/>
                <w:highlight w:val="none"/>
                <w:shd w:val="clear" w:color="auto" w:fill="auto"/>
                <w:lang w:val="en-US" w:eastAsia="zh-CN"/>
              </w:rPr>
              <w:t>采用胶装方式装订，装订应牢固，不易拆散和换页，不得采用活页装订。</w:t>
            </w:r>
          </w:p>
        </w:tc>
      </w:tr>
      <w:tr w14:paraId="7BBE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24D78742">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28</w:t>
            </w:r>
          </w:p>
        </w:tc>
        <w:tc>
          <w:tcPr>
            <w:tcW w:w="1907" w:type="dxa"/>
            <w:shd w:val="clear" w:color="auto" w:fill="auto"/>
            <w:vAlign w:val="center"/>
          </w:tcPr>
          <w:p w14:paraId="633B72A7">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val="0"/>
                <w:bCs w:val="0"/>
                <w:color w:val="auto"/>
                <w:kern w:val="2"/>
                <w:sz w:val="24"/>
                <w:szCs w:val="24"/>
                <w:highlight w:val="none"/>
                <w:shd w:val="clear" w:color="auto" w:fill="auto"/>
                <w:lang w:val="en-US" w:eastAsia="zh-CN" w:bidi="ar-SA"/>
              </w:rPr>
              <w:t>开标时间、地点及形式</w:t>
            </w:r>
          </w:p>
        </w:tc>
        <w:tc>
          <w:tcPr>
            <w:tcW w:w="6794" w:type="dxa"/>
            <w:shd w:val="clear" w:color="auto" w:fill="auto"/>
            <w:vAlign w:val="center"/>
          </w:tcPr>
          <w:p w14:paraId="5D90797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val="0"/>
                <w:bCs w:val="0"/>
                <w:color w:val="auto"/>
                <w:kern w:val="2"/>
                <w:sz w:val="24"/>
                <w:szCs w:val="24"/>
                <w:highlight w:val="none"/>
                <w:shd w:val="clear" w:color="auto" w:fill="auto"/>
                <w:lang w:val="en-US" w:eastAsia="zh-CN" w:bidi="ar-SA"/>
              </w:rPr>
              <w:t>详见采购公告</w:t>
            </w:r>
          </w:p>
        </w:tc>
      </w:tr>
      <w:tr w14:paraId="650C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1BC923B6">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29</w:t>
            </w:r>
          </w:p>
        </w:tc>
        <w:tc>
          <w:tcPr>
            <w:tcW w:w="1907" w:type="dxa"/>
            <w:shd w:val="clear" w:color="auto" w:fill="auto"/>
            <w:vAlign w:val="center"/>
          </w:tcPr>
          <w:p w14:paraId="17E53A39">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rPr>
              <w:t>资格性审查文件</w:t>
            </w:r>
          </w:p>
        </w:tc>
        <w:tc>
          <w:tcPr>
            <w:tcW w:w="6794" w:type="dxa"/>
            <w:shd w:val="clear" w:color="auto" w:fill="auto"/>
            <w:vAlign w:val="center"/>
          </w:tcPr>
          <w:p w14:paraId="226B433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供应商应单独提供一份以下材料：</w:t>
            </w:r>
          </w:p>
          <w:p w14:paraId="47A3149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营业执照复印件加盖公章；</w:t>
            </w:r>
          </w:p>
          <w:p w14:paraId="071BCB74">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）2024年度的财务状况报告。是指提供本单位经审计的财务报告或财务报告表(资产负债表、利润表、现金流量表）复印件加盖公章或基本户银行资信证明原件；</w:t>
            </w:r>
          </w:p>
          <w:p w14:paraId="4DA35D1D">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eastAsia="zh-CN"/>
              </w:rPr>
              <w:t>）近半年内不少于一个月依法缴纳税收的证明（以发布公告时间往前推算半年）。是指提供本单位的纳税证明，为税务部门或银行出具的完（交、缴）税（款）凭证或证明材料复印件加盖公章；</w:t>
            </w:r>
          </w:p>
          <w:p w14:paraId="42DF7FF6">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近半年内不少于一个月依法缴纳社会保障资金的证明（以发布公告时间往前推算半年）。指政府社会保障资金征收部门出具的单位职工社会保险缴费清单或专用收据扫描件或银行、税务部门代收的相关社保凭证复印件加盖公章；</w:t>
            </w:r>
          </w:p>
          <w:p w14:paraId="3A06FC9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eastAsia="zh-CN"/>
              </w:rPr>
              <w:t>）法定代表人的授权委托书原件及授权代表的身份证复印件加盖公章；若法定代表人参加，仅提供法定代表人身份证明原件及身份证复印件加盖公章；（格式见附件）</w:t>
            </w:r>
          </w:p>
          <w:p w14:paraId="3296E89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eastAsia="zh-CN"/>
              </w:rPr>
              <w:t>）参加政府采购活动前3年内在经营活动中没有重大违法记录的书面声明【格式见附件《无违规违法声明》及《信用记录承诺》】；</w:t>
            </w:r>
          </w:p>
          <w:p w14:paraId="2ABC3B3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lang w:eastAsia="zh-CN"/>
              </w:rPr>
              <w:t>）具备履行合同所必需的专业技术能力的证明材料。是指提供主要生产设备、检验设备表和主要技术、管理、服务人员数量表。格式见附件《履行合同的技术能力证明表》。</w:t>
            </w:r>
            <w:r>
              <w:rPr>
                <w:rFonts w:hint="eastAsia" w:ascii="宋体" w:hAnsi="宋体" w:eastAsia="宋体" w:cs="宋体"/>
                <w:color w:val="auto"/>
                <w:sz w:val="24"/>
                <w:szCs w:val="24"/>
                <w:highlight w:val="none"/>
                <w:shd w:val="clear" w:color="auto" w:fill="auto"/>
                <w:lang w:val="en-US" w:eastAsia="zh-CN"/>
              </w:rPr>
              <w:t xml:space="preserve"> </w:t>
            </w:r>
          </w:p>
          <w:p w14:paraId="2C47033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b/>
                <w:bCs/>
                <w:color w:val="auto"/>
                <w:sz w:val="24"/>
                <w:szCs w:val="24"/>
                <w:highlight w:val="none"/>
                <w:shd w:val="clear" w:color="auto" w:fill="auto"/>
                <w:lang w:val="en-US" w:eastAsia="zh-CN"/>
              </w:rPr>
              <w:t>注：①以上资质证明文件，供应商必须按要求提供，否则将被视为无效投标，不再进入下一步评审。②证件原件（如有）单独放入档案袋中（可不密封），在响应文件递交截止时间前随同响应文件一块交给工作人员，以备审查，逾期送达的不予接收。③所有资格证明材料必须在响应文件文件正本和副本中体现，且必须保证其真实性，供应商对资质证件的真伪、有效性负法律责任。④若相关证件处于年审状态，携带相关审核机构出具证明原件，可视为携带该证件原件。⑤评审委员会仅依据各供应商现场提供的资料确认其资格，不接受任何其他形式的补充说明。</w:t>
            </w:r>
          </w:p>
        </w:tc>
      </w:tr>
      <w:tr w14:paraId="6F61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4F431F0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30</w:t>
            </w:r>
          </w:p>
        </w:tc>
        <w:tc>
          <w:tcPr>
            <w:tcW w:w="1907" w:type="dxa"/>
            <w:shd w:val="clear" w:color="auto" w:fill="auto"/>
            <w:vAlign w:val="center"/>
          </w:tcPr>
          <w:p w14:paraId="523BD1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Cs/>
                <w:color w:val="auto"/>
                <w:sz w:val="24"/>
                <w:szCs w:val="24"/>
                <w:highlight w:val="none"/>
                <w:shd w:val="clear" w:color="auto" w:fill="auto"/>
                <w:lang w:val="en-US" w:eastAsia="zh-CN"/>
              </w:rPr>
              <w:t>政府采购政策</w:t>
            </w:r>
          </w:p>
        </w:tc>
        <w:tc>
          <w:tcPr>
            <w:tcW w:w="6794" w:type="dxa"/>
            <w:shd w:val="clear" w:color="auto" w:fill="auto"/>
            <w:vAlign w:val="center"/>
          </w:tcPr>
          <w:p w14:paraId="04388C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一、除本采购文件中明确规定使用进口产品外，响应文件中不允许含有产自境外的进口产品，否则其响应文件按无效处理。 </w:t>
            </w:r>
          </w:p>
          <w:p w14:paraId="58396E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进口产品是省级以上人民政府公布的政府集中采购目录以内或者采购限额标准以上的产自关境外的产品。 </w:t>
            </w:r>
          </w:p>
          <w:p w14:paraId="3D16F2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二、政府采购节能产品、环境标志产品实施品目清单管理，强制采购《节能产品政府采购品目清单》内规定的强制节能产品，具体见品目清单中“★”标注的产品；优先采购列入《节能产品政府采购品目清单》内的不加“★”标注的节能产品和列入《环境标志产品政府采购品目清单》内的环境标志产品。 </w:t>
            </w:r>
          </w:p>
          <w:p w14:paraId="3464B8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1、本次采购若涉及《节能产品政府采购品目清单》内强制采购的节能产品，无论项目说明中是否明确为强制节能产品，供应商都必须投报强制节能产品并提供有效的认证证书，供应商必须填写《节能产品报价说明表一》，格式见附件，填表要求按附件表下附注，否则按无效响应文件处理。 </w:t>
            </w:r>
          </w:p>
          <w:p w14:paraId="237A0D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如果在《节能产品政府采购品目清单》中无对应细化分类或该清单中的产品确实无法满足工作需要的，允许在节能清单之外选择。</w:t>
            </w:r>
          </w:p>
          <w:p w14:paraId="6F5CB1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本次采购的产品如是列入《节能产品政府采购品目清单》中优先采购的节能产品，需要享受价格扣除或加分的政策的，须填写《节能产品报价说明表二》，格式见附件，填写要求按附件中表下附注。 </w:t>
            </w:r>
          </w:p>
          <w:p w14:paraId="4D4B2B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要求提供的节能产品认证证书，是指由市场监管总局《关于发布参与实施政府采购节能产品、环境标志产品认证机构名录的公告》 2019年第16号文件公布的机构出具的有效期内的节能认证证书原件扫描件。 </w:t>
            </w:r>
          </w:p>
          <w:p w14:paraId="2DFB5B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加分标准</w:t>
            </w:r>
          </w:p>
          <w:p w14:paraId="484E96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（1）报价加分 节能产品报价/总报价*4%*价格分</w:t>
            </w:r>
          </w:p>
          <w:p w14:paraId="69795A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（2）技术加分 节能产品报价/总报价*4%*技术分</w:t>
            </w:r>
          </w:p>
          <w:p w14:paraId="675A74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2、本次采购的产品如是列入《环境标志产品政府采购品目清单》内的环境标志产品，需要享受价格扣除或加分的政策的，须填写《环境标志产品报价说明表》，格式见附件，填写要求按附件中表下附注。 </w:t>
            </w:r>
          </w:p>
          <w:p w14:paraId="190926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要求提供的环境标志产品认证证书，是指由市场监管总局《关于发布参与实施政府采购节能产品、环境标志产品认证机构名录的公告》 2019年第16号文件公布的机构出具的有效期内的环境标志产品认证证书原件扫描件。 </w:t>
            </w:r>
          </w:p>
          <w:p w14:paraId="676A68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加分标准</w:t>
            </w:r>
          </w:p>
          <w:p w14:paraId="266B93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（1）报价加分 环保产品报价/总报价*4%*价格分</w:t>
            </w:r>
          </w:p>
          <w:p w14:paraId="629887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（2）技术加分 环保产品报价/总报价*4%*技术分</w:t>
            </w:r>
          </w:p>
          <w:p w14:paraId="27BCD2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产品既是环境标志产品，又是节能产品的均予加分，其中节能产品加分时不含强制节能产品。</w:t>
            </w:r>
          </w:p>
          <w:p w14:paraId="51A8ED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三、对农副产品的采购项目，政府优先采购贫困地区的农副产品，供应商在响应文件中声明原产地，采购代理机构在评标时通过国务院相关网站提供相关证据。 </w:t>
            </w:r>
          </w:p>
          <w:p w14:paraId="26B202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对注册地在832个国家级贫困县域内，且聘用建档立卡贫困人员达到公司员工（含服务外包用工）30%以上的物业公司在物业政府采购时优先采购，物业公司出具贫困县物业公司声明，格式自拟，并附贫困人员卡。 </w:t>
            </w:r>
          </w:p>
          <w:p w14:paraId="55EBBC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四、政府采购项目，支持监狱企业、中小企业发展，支持残疾人就业。</w:t>
            </w:r>
          </w:p>
          <w:p w14:paraId="604F98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供应商为监狱企业或所报产品为监狱企业产品并需要价格扣除的，应当提供省级以上监狱管理局、戒毒管理局（含新疆生产建设兵团）出具的属于监狱企业的证明文件原件扫描件加盖公章，并且填写《监狱企业、小型和微型企业、残疾人福利性单位产品报价说明表》（格式见响应文件附件，填写要求按附件中表下附注）。</w:t>
            </w:r>
          </w:p>
          <w:p w14:paraId="1F26EB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2、政府采购活动中，供应商提供的货物、工程或者服务符合下列情形的，享受中小企业扶持政策：</w:t>
            </w:r>
          </w:p>
          <w:p w14:paraId="508DA9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2.1货物采购项目中，货物由中小企业制造，即货物由中小企业生产且使用该中小企业商号或者注册商标。 </w:t>
            </w:r>
          </w:p>
          <w:p w14:paraId="62BC36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2.2在工程采购项目中，工程由中小企业承建，即工程施工单位为中小企业。 </w:t>
            </w:r>
          </w:p>
          <w:p w14:paraId="001173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2.3在服务采购项目中，服务由中小企业承接，即提供服务的人员为中小企业依照《中华人民共和国劳动合同法》订立劳动合同的从业人员。 </w:t>
            </w:r>
          </w:p>
          <w:p w14:paraId="3A6981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2.4在货物采购项目中，供应商提供的货物既有中小企业制造货物，也有大型企业制造货物的，不享受《政府采购促进中小企业发展管理办法》（财库﹝2020﹞46号）规定的中小企业扶持政策。 </w:t>
            </w:r>
          </w:p>
          <w:p w14:paraId="2D877D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2.5以联合体形式参加政府采购活动，联合体各方均为中小企业的，联合体视同中小企业。其中，联合体各方均为小微企业的，联合体视同小微企业。 </w:t>
            </w:r>
          </w:p>
          <w:p w14:paraId="4F9E57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2.6组成联合体或者接受分包的小微企业与联合体内其他企业、分包企业之间存在直接控股、管理关系的，不享受价格扣除优惠政策。</w:t>
            </w:r>
          </w:p>
          <w:p w14:paraId="6112A8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2.7对于经主管预算单位统筹后未预留份额专门面向中小企业采购的采购项目，以及预留份额项目中的非预留部分采购包，采购人、采购代理机构应当对符合《政府采购促进中小企业发展管理办法》（财库﹝2020﹞46号）规定的小微企业报价给予10%（工程项目为5%）的扣除，用扣除后的价格参加评审。适用招标投标法的政府采购工程建设项目，采用综合评估法但未采用低价优先法计算价格分的，评标时应当在采用原报价进行评分的基础上增加其价格得分的3%作为其价格分。中小企业参加政府采购活动，应当出具《中小企业声明函》，并且填写《监狱企业、小型和微型企业、残疾人福利性单位产品报价说明表》（格式见响应文件附件，填写要求按附件中表下附注），否则不得享受相关中小企业扶持政策。</w:t>
            </w:r>
          </w:p>
          <w:p w14:paraId="7DB4E8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2.8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3%（工程项目为2%）的扣除，用扣除后的价格参加评审。适用招标投标法的政府采购工程建设项目，采用综合评估法但未采用低价优先法计算价格分的，评标时应当在采用原报价进行评分的基础上增加其价格得分的2%作为其价格分。 </w:t>
            </w:r>
          </w:p>
          <w:p w14:paraId="2200FE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2.9价格扣除比例对小型企业和微型企业同等对待，不作区分。</w:t>
            </w:r>
          </w:p>
          <w:p w14:paraId="325DA3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rPr>
              <w:t>3、按照《财政部 民政部 中国残疾人联合会关于促进残疾人就业政府采购政策的通知》（财库〔2017〕141号）的规定，在政府采购活动中，残疾人福利性单位视同小型、微型企业，享受评审中价格扣除的政府采购政策。如供应商为残疾人福利性单位，应当提供《残疾人福利性单位声明函》（格式见响应文件附件）。</w:t>
            </w:r>
          </w:p>
        </w:tc>
      </w:tr>
      <w:tr w14:paraId="0AA3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6DC112D0">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31</w:t>
            </w:r>
          </w:p>
        </w:tc>
        <w:tc>
          <w:tcPr>
            <w:tcW w:w="1907" w:type="dxa"/>
            <w:shd w:val="clear" w:color="auto" w:fill="auto"/>
            <w:vAlign w:val="center"/>
          </w:tcPr>
          <w:p w14:paraId="50F23C1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eastAsia="zh-CN"/>
              </w:rPr>
              <w:t>评审委员会的组成</w:t>
            </w:r>
          </w:p>
        </w:tc>
        <w:tc>
          <w:tcPr>
            <w:tcW w:w="6794" w:type="dxa"/>
            <w:shd w:val="clear" w:color="auto" w:fill="auto"/>
            <w:vAlign w:val="center"/>
          </w:tcPr>
          <w:p w14:paraId="60DAB27C">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评审委员会由采购人代表（如有）和评审专家3人（含）以上单数组成；</w:t>
            </w:r>
          </w:p>
          <w:p w14:paraId="7B39252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评审专家确定方式：由采购人及采购代理机构依法组建</w:t>
            </w:r>
          </w:p>
        </w:tc>
      </w:tr>
      <w:tr w14:paraId="1A32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7AB55A0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32</w:t>
            </w:r>
          </w:p>
        </w:tc>
        <w:tc>
          <w:tcPr>
            <w:tcW w:w="1907" w:type="dxa"/>
            <w:shd w:val="clear" w:color="auto" w:fill="auto"/>
            <w:vAlign w:val="center"/>
          </w:tcPr>
          <w:p w14:paraId="4A41C78F">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无效报价</w:t>
            </w:r>
          </w:p>
        </w:tc>
        <w:tc>
          <w:tcPr>
            <w:tcW w:w="6794" w:type="dxa"/>
            <w:shd w:val="clear" w:color="auto" w:fill="auto"/>
            <w:vAlign w:val="center"/>
          </w:tcPr>
          <w:p w14:paraId="4BA885C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（1）供应商未按采购文件要求提供资格、资质证明文件或提供的有关资格、资质证明文件不真实或提供虚假材料；</w:t>
            </w:r>
          </w:p>
          <w:p w14:paraId="62A1BD5C">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（2）供应商在报价有效期内撤回响应文件；</w:t>
            </w:r>
          </w:p>
          <w:p w14:paraId="639178A1">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（3）未按文件要求提供保证金（如有）；</w:t>
            </w:r>
          </w:p>
          <w:p w14:paraId="1C3B15F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（4）提交的响应文件不完整；</w:t>
            </w:r>
          </w:p>
          <w:p w14:paraId="21E7182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（5）未按规定报价或响应文件中报价不完整；</w:t>
            </w:r>
          </w:p>
          <w:p w14:paraId="1E2C0EC0">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（6）响应文件未按采购文件的规定签署；</w:t>
            </w:r>
          </w:p>
          <w:p w14:paraId="5F14CF1C">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（7）未按采购文件规定对响应文件胶装及编排页码的；</w:t>
            </w:r>
          </w:p>
          <w:p w14:paraId="6FD4408A">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（8）供应商未按采购文件提供资格、资质证明文件；</w:t>
            </w:r>
          </w:p>
          <w:p w14:paraId="32F44A61">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（9）报价超出采购预算的；</w:t>
            </w:r>
          </w:p>
          <w:p w14:paraId="03B8F7D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（10）在整个招标过程中，供应商有企图影响采购结果公正性的任何活动；</w:t>
            </w:r>
          </w:p>
          <w:p w14:paraId="446F060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（11）供应商以任何方式诋毁其他供应商；</w:t>
            </w:r>
          </w:p>
          <w:p w14:paraId="2333E5C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（12）供应商串通报价；</w:t>
            </w:r>
          </w:p>
          <w:p w14:paraId="57D4051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（13）以他人名义报价或其他方式弄虚作假，骗取成交；</w:t>
            </w:r>
          </w:p>
          <w:p w14:paraId="76525FF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（14）成交供应商不按要求提供成交服务。</w:t>
            </w:r>
          </w:p>
          <w:p w14:paraId="6671C29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（15）法律、法规规定的其他情况。</w:t>
            </w:r>
          </w:p>
        </w:tc>
      </w:tr>
      <w:tr w14:paraId="4395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66B4A51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33</w:t>
            </w:r>
          </w:p>
        </w:tc>
        <w:tc>
          <w:tcPr>
            <w:tcW w:w="1907" w:type="dxa"/>
            <w:shd w:val="clear" w:color="auto" w:fill="auto"/>
            <w:vAlign w:val="center"/>
          </w:tcPr>
          <w:p w14:paraId="029B7545">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val="0"/>
                <w:bCs w:val="0"/>
                <w:color w:val="auto"/>
                <w:kern w:val="2"/>
                <w:sz w:val="24"/>
                <w:szCs w:val="24"/>
                <w:highlight w:val="none"/>
                <w:shd w:val="clear" w:color="auto" w:fill="auto"/>
                <w:lang w:val="en-US" w:eastAsia="zh-CN" w:bidi="ar-SA"/>
              </w:rPr>
              <w:t>重要声明</w:t>
            </w:r>
          </w:p>
        </w:tc>
        <w:tc>
          <w:tcPr>
            <w:tcW w:w="6794" w:type="dxa"/>
            <w:shd w:val="clear" w:color="auto" w:fill="auto"/>
            <w:vAlign w:val="center"/>
          </w:tcPr>
          <w:p w14:paraId="6D776D61">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val="0"/>
                <w:bCs w:val="0"/>
                <w:color w:val="auto"/>
                <w:kern w:val="2"/>
                <w:sz w:val="24"/>
                <w:szCs w:val="24"/>
                <w:highlight w:val="none"/>
                <w:shd w:val="clear" w:color="auto" w:fill="auto"/>
                <w:lang w:val="en-US" w:eastAsia="zh-CN" w:bidi="ar-SA"/>
              </w:rPr>
              <w:t>成交供应商须满足以下要求：1、新大楼公共区域监控无死角。2、将原保卫科监控移到新大楼监护室。3、监控保存数据三个月，90天以上！提供承诺函并加盖公章（格式自拟）附至响应文件中，否则作无效投标处理。</w:t>
            </w:r>
          </w:p>
        </w:tc>
      </w:tr>
      <w:tr w14:paraId="0F7B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7D026A29">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34</w:t>
            </w:r>
          </w:p>
        </w:tc>
        <w:tc>
          <w:tcPr>
            <w:tcW w:w="1907" w:type="dxa"/>
            <w:shd w:val="clear" w:color="auto" w:fill="auto"/>
            <w:vAlign w:val="center"/>
          </w:tcPr>
          <w:p w14:paraId="1E3BB63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rPr>
              <w:t>解释权</w:t>
            </w:r>
          </w:p>
        </w:tc>
        <w:tc>
          <w:tcPr>
            <w:tcW w:w="6794" w:type="dxa"/>
            <w:shd w:val="clear" w:color="auto" w:fill="auto"/>
            <w:vAlign w:val="center"/>
          </w:tcPr>
          <w:p w14:paraId="14AF4204">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rPr>
              <w:t>本</w:t>
            </w:r>
            <w:r>
              <w:rPr>
                <w:rFonts w:hint="eastAsia" w:ascii="宋体" w:hAnsi="宋体" w:eastAsia="宋体" w:cs="宋体"/>
                <w:color w:val="auto"/>
                <w:kern w:val="2"/>
                <w:sz w:val="24"/>
                <w:szCs w:val="24"/>
                <w:highlight w:val="none"/>
                <w:shd w:val="clear" w:color="auto" w:fill="auto"/>
                <w:lang w:val="en-US" w:eastAsia="zh-CN" w:bidi="ar-SA"/>
              </w:rPr>
              <w:t>采购文件</w:t>
            </w:r>
            <w:r>
              <w:rPr>
                <w:rFonts w:hint="eastAsia" w:ascii="宋体" w:hAnsi="宋体" w:eastAsia="宋体" w:cs="宋体"/>
                <w:color w:val="auto"/>
                <w:sz w:val="24"/>
                <w:szCs w:val="24"/>
                <w:highlight w:val="none"/>
                <w:shd w:val="clear" w:color="auto" w:fill="auto"/>
              </w:rPr>
              <w:t>的最终解释权归</w:t>
            </w:r>
            <w:r>
              <w:rPr>
                <w:rFonts w:hint="eastAsia" w:ascii="宋体" w:hAnsi="宋体" w:eastAsia="宋体" w:cs="宋体"/>
                <w:color w:val="auto"/>
                <w:sz w:val="24"/>
                <w:szCs w:val="24"/>
                <w:highlight w:val="none"/>
                <w:shd w:val="clear" w:color="auto" w:fill="auto"/>
                <w:lang w:val="en-US" w:eastAsia="zh-CN"/>
              </w:rPr>
              <w:t>采购代理机构</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当对一个问题有多种解释时以</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的书面解释为准。</w:t>
            </w:r>
            <w:r>
              <w:rPr>
                <w:rFonts w:hint="eastAsia" w:ascii="宋体" w:hAnsi="宋体" w:eastAsia="宋体" w:cs="宋体"/>
                <w:color w:val="auto"/>
                <w:sz w:val="24"/>
                <w:szCs w:val="24"/>
                <w:highlight w:val="none"/>
                <w:shd w:val="clear" w:color="auto" w:fill="auto"/>
                <w:lang w:eastAsia="zh-CN"/>
              </w:rPr>
              <w:t>竞争性磋商文件</w:t>
            </w:r>
            <w:r>
              <w:rPr>
                <w:rFonts w:hint="eastAsia" w:ascii="宋体" w:hAnsi="宋体" w:eastAsia="宋体" w:cs="宋体"/>
                <w:color w:val="auto"/>
                <w:sz w:val="24"/>
                <w:szCs w:val="24"/>
                <w:highlight w:val="none"/>
                <w:shd w:val="clear" w:color="auto" w:fill="auto"/>
              </w:rPr>
              <w:t>中未做须知明示</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而又有相关法律、法规规定的</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对此所做解释以相关的法律、法规规定为依据。</w:t>
            </w:r>
          </w:p>
        </w:tc>
      </w:tr>
      <w:tr w14:paraId="6E71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0" w:type="dxa"/>
            <w:vAlign w:val="center"/>
          </w:tcPr>
          <w:p w14:paraId="3C3B990C">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val="0"/>
                <w:bCs w:val="0"/>
                <w:color w:val="auto"/>
                <w:sz w:val="24"/>
                <w:szCs w:val="24"/>
                <w:highlight w:val="none"/>
                <w:shd w:val="clear" w:color="auto" w:fill="auto"/>
                <w:lang w:val="en-US" w:eastAsia="zh-CN"/>
              </w:rPr>
              <w:t>33</w:t>
            </w:r>
          </w:p>
        </w:tc>
        <w:tc>
          <w:tcPr>
            <w:tcW w:w="1907" w:type="dxa"/>
            <w:shd w:val="clear" w:color="auto" w:fill="auto"/>
            <w:vAlign w:val="center"/>
          </w:tcPr>
          <w:p w14:paraId="7FAEFA70">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所属行业</w:t>
            </w:r>
          </w:p>
        </w:tc>
        <w:tc>
          <w:tcPr>
            <w:tcW w:w="6794" w:type="dxa"/>
            <w:shd w:val="clear" w:color="auto" w:fill="auto"/>
            <w:vAlign w:val="center"/>
          </w:tcPr>
          <w:p w14:paraId="08976E48">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软件和信息技术服务业。</w:t>
            </w:r>
          </w:p>
        </w:tc>
      </w:tr>
      <w:tr w14:paraId="10EE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50" w:type="dxa"/>
            <w:vAlign w:val="center"/>
          </w:tcPr>
          <w:p w14:paraId="02FB3D0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val="0"/>
                <w:bCs w:val="0"/>
                <w:color w:val="auto"/>
                <w:kern w:val="2"/>
                <w:sz w:val="24"/>
                <w:szCs w:val="24"/>
                <w:highlight w:val="none"/>
                <w:shd w:val="clear" w:color="auto" w:fill="auto"/>
                <w:lang w:val="en-US" w:eastAsia="zh-CN" w:bidi="ar-SA"/>
              </w:rPr>
              <w:t>34</w:t>
            </w:r>
          </w:p>
        </w:tc>
        <w:tc>
          <w:tcPr>
            <w:tcW w:w="1907" w:type="dxa"/>
            <w:shd w:val="clear" w:color="auto" w:fill="auto"/>
            <w:vAlign w:val="center"/>
          </w:tcPr>
          <w:p w14:paraId="1E0622D8">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适用法律</w:t>
            </w:r>
          </w:p>
        </w:tc>
        <w:tc>
          <w:tcPr>
            <w:tcW w:w="6794" w:type="dxa"/>
            <w:shd w:val="clear" w:color="auto" w:fill="auto"/>
            <w:vAlign w:val="center"/>
          </w:tcPr>
          <w:p w14:paraId="362822F5">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本项目适用于《中华人民共和国政府采购法》</w:t>
            </w:r>
          </w:p>
        </w:tc>
      </w:tr>
      <w:bookmarkEnd w:id="4"/>
    </w:tbl>
    <w:p w14:paraId="26030EA1">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注：1、本表中关于本项目的实质性条件，若有缺失或无效，将导致投标无效且不允许在开标后补正；2、本表内容与采购文件其它内容不一致的，应当以本表内容为准。</w:t>
      </w:r>
    </w:p>
    <w:p w14:paraId="40FA677F">
      <w:pPr>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br w:type="page"/>
      </w:r>
    </w:p>
    <w:p w14:paraId="5803F8F0">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一、适用范围</w:t>
      </w:r>
    </w:p>
    <w:p w14:paraId="4EEED806">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仅适用于本次</w:t>
      </w:r>
      <w:r>
        <w:rPr>
          <w:rFonts w:hint="eastAsia" w:ascii="宋体" w:hAnsi="宋体" w:eastAsia="宋体" w:cs="宋体"/>
          <w:color w:val="auto"/>
          <w:sz w:val="24"/>
          <w:szCs w:val="24"/>
          <w:highlight w:val="none"/>
          <w:shd w:val="clear" w:color="auto" w:fill="auto"/>
          <w:lang w:eastAsia="zh-CN"/>
        </w:rPr>
        <w:t>竞争性磋商公告</w:t>
      </w:r>
      <w:r>
        <w:rPr>
          <w:rFonts w:hint="eastAsia" w:ascii="宋体" w:hAnsi="宋体" w:eastAsia="宋体" w:cs="宋体"/>
          <w:color w:val="auto"/>
          <w:sz w:val="24"/>
          <w:szCs w:val="24"/>
          <w:highlight w:val="none"/>
          <w:shd w:val="clear" w:color="auto" w:fill="auto"/>
        </w:rPr>
        <w:t>中所叙述的项目。</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应当按照</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的要求进行报价。</w:t>
      </w:r>
    </w:p>
    <w:p w14:paraId="220B8CA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二、总则</w:t>
      </w:r>
    </w:p>
    <w:p w14:paraId="6B5C39A9">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（一）定义</w:t>
      </w:r>
    </w:p>
    <w:p w14:paraId="05BBB73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”系指</w:t>
      </w:r>
      <w:r>
        <w:rPr>
          <w:rFonts w:hint="eastAsia" w:ascii="宋体" w:hAnsi="宋体" w:eastAsia="宋体" w:cs="宋体"/>
          <w:color w:val="auto"/>
          <w:sz w:val="24"/>
          <w:szCs w:val="24"/>
          <w:highlight w:val="none"/>
          <w:shd w:val="clear" w:color="auto" w:fill="auto"/>
          <w:lang w:eastAsia="zh-CN"/>
        </w:rPr>
        <w:t>聊城市退役军人医院。</w:t>
      </w:r>
    </w:p>
    <w:p w14:paraId="297D2D1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”系指</w:t>
      </w:r>
      <w:r>
        <w:rPr>
          <w:rFonts w:hint="eastAsia" w:ascii="宋体" w:hAnsi="宋体" w:eastAsia="宋体" w:cs="宋体"/>
          <w:color w:val="auto"/>
          <w:sz w:val="24"/>
          <w:szCs w:val="24"/>
          <w:highlight w:val="none"/>
          <w:shd w:val="clear" w:color="auto" w:fill="auto"/>
          <w:lang w:eastAsia="zh-CN"/>
        </w:rPr>
        <w:t>疆海工程项目管理有限公司。</w:t>
      </w:r>
    </w:p>
    <w:p w14:paraId="442CB8A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”系指向</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索取</w:t>
      </w:r>
      <w:r>
        <w:rPr>
          <w:rFonts w:hint="eastAsia" w:ascii="宋体" w:hAnsi="宋体" w:eastAsia="宋体" w:cs="宋体"/>
          <w:color w:val="auto"/>
          <w:sz w:val="24"/>
          <w:szCs w:val="24"/>
          <w:highlight w:val="none"/>
          <w:shd w:val="clear" w:color="auto" w:fill="auto"/>
          <w:lang w:eastAsia="zh-CN"/>
        </w:rPr>
        <w:t>竞争性磋商文件</w:t>
      </w:r>
      <w:r>
        <w:rPr>
          <w:rFonts w:hint="eastAsia" w:ascii="宋体" w:hAnsi="宋体" w:eastAsia="宋体" w:cs="宋体"/>
          <w:color w:val="auto"/>
          <w:sz w:val="24"/>
          <w:szCs w:val="24"/>
          <w:highlight w:val="none"/>
          <w:shd w:val="clear" w:color="auto" w:fill="auto"/>
        </w:rPr>
        <w:t>并提交</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的法人或其他组织。</w:t>
      </w:r>
    </w:p>
    <w:p w14:paraId="6F0819E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4、“有效</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”系指经</w:t>
      </w:r>
      <w:r>
        <w:rPr>
          <w:rFonts w:hint="eastAsia" w:ascii="宋体" w:hAnsi="宋体" w:eastAsia="宋体" w:cs="宋体"/>
          <w:color w:val="auto"/>
          <w:sz w:val="24"/>
          <w:szCs w:val="24"/>
          <w:highlight w:val="none"/>
          <w:shd w:val="clear" w:color="auto" w:fill="auto"/>
          <w:lang w:eastAsia="zh-CN"/>
        </w:rPr>
        <w:t>评审委员会</w:t>
      </w:r>
      <w:r>
        <w:rPr>
          <w:rFonts w:hint="eastAsia" w:ascii="宋体" w:hAnsi="宋体" w:eastAsia="宋体" w:cs="宋体"/>
          <w:color w:val="auto"/>
          <w:sz w:val="24"/>
          <w:szCs w:val="24"/>
          <w:highlight w:val="none"/>
          <w:shd w:val="clear" w:color="auto" w:fill="auto"/>
        </w:rPr>
        <w:t>初步评审，</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的各项指标均符合</w:t>
      </w:r>
      <w:r>
        <w:rPr>
          <w:rFonts w:hint="eastAsia" w:ascii="宋体" w:hAnsi="宋体" w:eastAsia="宋体" w:cs="宋体"/>
          <w:color w:val="auto"/>
          <w:sz w:val="24"/>
          <w:szCs w:val="24"/>
          <w:highlight w:val="none"/>
          <w:shd w:val="clear" w:color="auto" w:fill="auto"/>
          <w:lang w:eastAsia="zh-CN"/>
        </w:rPr>
        <w:t>竞争性磋商文件</w:t>
      </w:r>
      <w:r>
        <w:rPr>
          <w:rFonts w:hint="eastAsia" w:ascii="宋体" w:hAnsi="宋体" w:eastAsia="宋体" w:cs="宋体"/>
          <w:color w:val="auto"/>
          <w:sz w:val="24"/>
          <w:szCs w:val="24"/>
          <w:highlight w:val="none"/>
          <w:shd w:val="clear" w:color="auto" w:fill="auto"/>
        </w:rPr>
        <w:t>要求，进入综合评审阶段的</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w:t>
      </w:r>
    </w:p>
    <w:p w14:paraId="67618AC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w:t>
      </w:r>
      <w:r>
        <w:rPr>
          <w:rFonts w:hint="eastAsia" w:ascii="宋体" w:hAnsi="宋体" w:eastAsia="宋体" w:cs="宋体"/>
          <w:color w:val="auto"/>
          <w:sz w:val="24"/>
          <w:szCs w:val="24"/>
          <w:highlight w:val="none"/>
          <w:shd w:val="clear" w:color="auto" w:fill="auto"/>
          <w:lang w:eastAsia="zh-CN"/>
        </w:rPr>
        <w:t>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（候选）人”系指由</w:t>
      </w:r>
      <w:r>
        <w:rPr>
          <w:rFonts w:hint="eastAsia" w:ascii="宋体" w:hAnsi="宋体" w:eastAsia="宋体" w:cs="宋体"/>
          <w:color w:val="auto"/>
          <w:sz w:val="24"/>
          <w:szCs w:val="24"/>
          <w:highlight w:val="none"/>
          <w:shd w:val="clear" w:color="auto" w:fill="auto"/>
          <w:lang w:eastAsia="zh-CN"/>
        </w:rPr>
        <w:t>评审委员会</w:t>
      </w:r>
      <w:r>
        <w:rPr>
          <w:rFonts w:hint="eastAsia" w:ascii="宋体" w:hAnsi="宋体" w:eastAsia="宋体" w:cs="宋体"/>
          <w:color w:val="auto"/>
          <w:sz w:val="24"/>
          <w:szCs w:val="24"/>
          <w:highlight w:val="none"/>
          <w:shd w:val="clear" w:color="auto" w:fill="auto"/>
        </w:rPr>
        <w:t>对</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综合评审后，评选出的对</w:t>
      </w:r>
      <w:r>
        <w:rPr>
          <w:rFonts w:hint="eastAsia" w:ascii="宋体" w:hAnsi="宋体" w:eastAsia="宋体" w:cs="宋体"/>
          <w:color w:val="auto"/>
          <w:sz w:val="24"/>
          <w:szCs w:val="24"/>
          <w:highlight w:val="none"/>
          <w:shd w:val="clear" w:color="auto" w:fill="auto"/>
          <w:lang w:eastAsia="zh-CN"/>
        </w:rPr>
        <w:t>竞争性磋商文件</w:t>
      </w:r>
      <w:r>
        <w:rPr>
          <w:rFonts w:hint="eastAsia" w:ascii="宋体" w:hAnsi="宋体" w:eastAsia="宋体" w:cs="宋体"/>
          <w:color w:val="auto"/>
          <w:sz w:val="24"/>
          <w:szCs w:val="24"/>
          <w:highlight w:val="none"/>
          <w:shd w:val="clear" w:color="auto" w:fill="auto"/>
        </w:rPr>
        <w:t>做出实质性响应、综合竞争实力强、报价合理且有能力为</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提供</w:t>
      </w:r>
      <w:r>
        <w:rPr>
          <w:rFonts w:hint="eastAsia" w:ascii="宋体" w:hAnsi="宋体" w:eastAsia="宋体" w:cs="宋体"/>
          <w:color w:val="auto"/>
          <w:sz w:val="24"/>
          <w:szCs w:val="24"/>
          <w:highlight w:val="none"/>
          <w:shd w:val="clear" w:color="auto" w:fill="auto"/>
          <w:lang w:eastAsia="zh-CN"/>
        </w:rPr>
        <w:t>施工、</w:t>
      </w:r>
      <w:r>
        <w:rPr>
          <w:rFonts w:hint="eastAsia" w:ascii="宋体" w:hAnsi="宋体" w:eastAsia="宋体" w:cs="宋体"/>
          <w:color w:val="auto"/>
          <w:sz w:val="24"/>
          <w:szCs w:val="24"/>
          <w:highlight w:val="none"/>
          <w:shd w:val="clear" w:color="auto" w:fill="auto"/>
        </w:rPr>
        <w:t>货物和服务，遵守</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和询标时的承诺，赢得或潜在赢得项目合同的</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w:t>
      </w:r>
    </w:p>
    <w:p w14:paraId="1374E2A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 xml:space="preserve">（二）投标保证金 </w:t>
      </w:r>
    </w:p>
    <w:p w14:paraId="47514AB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本项目无需缴纳投标保证金</w:t>
      </w:r>
      <w:r>
        <w:rPr>
          <w:rFonts w:hint="eastAsia" w:ascii="宋体" w:hAnsi="宋体" w:eastAsia="宋体" w:cs="宋体"/>
          <w:color w:val="auto"/>
          <w:sz w:val="24"/>
          <w:szCs w:val="24"/>
          <w:highlight w:val="none"/>
          <w:shd w:val="clear" w:color="auto" w:fill="auto"/>
          <w:lang w:val="en-US" w:eastAsia="zh-CN"/>
        </w:rPr>
        <w:t xml:space="preserve">  </w:t>
      </w:r>
    </w:p>
    <w:p w14:paraId="0848801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 xml:space="preserve">（三）投标费用 </w:t>
      </w:r>
    </w:p>
    <w:p w14:paraId="21864E5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1、无论评标方法和结果如何，供应商均应自行承担所有与本次投标活动有关的相关费用；</w:t>
      </w:r>
    </w:p>
    <w:p w14:paraId="66A1858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2、成交人在签订合同前，应按照供应商须知表中规定向采购代理机构交纳招标代理费。</w:t>
      </w:r>
    </w:p>
    <w:p w14:paraId="6ED11F7B">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三、</w:t>
      </w:r>
      <w:r>
        <w:rPr>
          <w:rFonts w:hint="eastAsia" w:ascii="宋体" w:hAnsi="宋体" w:eastAsia="宋体" w:cs="宋体"/>
          <w:b/>
          <w:color w:val="auto"/>
          <w:sz w:val="24"/>
          <w:szCs w:val="24"/>
          <w:highlight w:val="none"/>
          <w:shd w:val="clear" w:color="auto" w:fill="auto"/>
          <w:lang w:eastAsia="zh-CN"/>
        </w:rPr>
        <w:t>采购文件</w:t>
      </w:r>
      <w:r>
        <w:rPr>
          <w:rFonts w:hint="eastAsia" w:ascii="宋体" w:hAnsi="宋体" w:eastAsia="宋体" w:cs="宋体"/>
          <w:b/>
          <w:color w:val="auto"/>
          <w:sz w:val="24"/>
          <w:szCs w:val="24"/>
          <w:highlight w:val="none"/>
          <w:shd w:val="clear" w:color="auto" w:fill="auto"/>
        </w:rPr>
        <w:t>说明</w:t>
      </w:r>
    </w:p>
    <w:p w14:paraId="18A9A60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组成：本</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由</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目录所列内容组成。</w:t>
      </w:r>
    </w:p>
    <w:p w14:paraId="6E8B1EA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答疑澄清及修改</w:t>
      </w:r>
    </w:p>
    <w:p w14:paraId="2E61E40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对采购文件、踏勘现场有询问或者疑问，需采购人或代理机构解答或者答疑时，应于获取采购文件1日内，直接联系代理公司并提出疑问，供应商应以加盖本单位公章的书面文件提出，同时将电子版文件以电子邮件的形式发送至</w:t>
      </w:r>
      <w:r>
        <w:rPr>
          <w:rFonts w:hint="eastAsia" w:ascii="宋体" w:hAnsi="宋体" w:eastAsia="宋体" w:cs="宋体"/>
          <w:color w:val="auto"/>
          <w:sz w:val="24"/>
          <w:szCs w:val="24"/>
          <w:highlight w:val="none"/>
          <w:shd w:val="clear" w:color="auto" w:fill="auto"/>
          <w:lang w:eastAsia="zh-CN"/>
        </w:rPr>
        <w:t>531448293@qq.com</w:t>
      </w:r>
      <w:r>
        <w:rPr>
          <w:rFonts w:hint="eastAsia" w:ascii="宋体" w:hAnsi="宋体" w:eastAsia="宋体" w:cs="宋体"/>
          <w:color w:val="auto"/>
          <w:sz w:val="24"/>
          <w:szCs w:val="24"/>
          <w:highlight w:val="none"/>
          <w:shd w:val="clear" w:color="auto" w:fill="auto"/>
        </w:rPr>
        <w:t>。我代理机构根据项目的实际情况或供应商提出的问题，决定是否对采购文件进行澄清说明或补充修改，澄清说明或者补充修改通过邮箱发布并电话通知已领取文件的潜在供应商，发布之日即视为已通知所有获取采购文件的供应商，各供应商应随时关注邮箱内澄清答疑，否则所造成的一切后果由供应商自负。补充文件作为采购文件的组成部分，对所有供应商具有最终约束力。</w:t>
      </w:r>
    </w:p>
    <w:p w14:paraId="656F5E6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供应商未在规定时间内提出询问或者疑问，视为认同采购文件以及答疑文件内的所有要求，供应商未按照采购文件、解答或者答疑要求报价的，后果自负。</w:t>
      </w:r>
    </w:p>
    <w:p w14:paraId="0180B9A9">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四、</w:t>
      </w:r>
      <w:r>
        <w:rPr>
          <w:rFonts w:hint="eastAsia" w:ascii="宋体" w:hAnsi="宋体" w:eastAsia="宋体" w:cs="宋体"/>
          <w:b/>
          <w:color w:val="auto"/>
          <w:sz w:val="24"/>
          <w:szCs w:val="24"/>
          <w:highlight w:val="none"/>
          <w:shd w:val="clear" w:color="auto" w:fill="auto"/>
          <w:lang w:eastAsia="zh-CN"/>
        </w:rPr>
        <w:t>响应文件</w:t>
      </w:r>
      <w:r>
        <w:rPr>
          <w:rFonts w:hint="eastAsia" w:ascii="宋体" w:hAnsi="宋体" w:eastAsia="宋体" w:cs="宋体"/>
          <w:b/>
          <w:color w:val="auto"/>
          <w:sz w:val="24"/>
          <w:szCs w:val="24"/>
          <w:highlight w:val="none"/>
          <w:shd w:val="clear" w:color="auto" w:fill="auto"/>
        </w:rPr>
        <w:t xml:space="preserve">编写   </w:t>
      </w:r>
    </w:p>
    <w:p w14:paraId="4A45ABE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应认真阅读</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中所有内容，并按照</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的要求提供</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，保证所提供的全部资料的真实性、准确性，以使其报价对</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做出实质性响应。否则，其报价将被视为无效。</w:t>
      </w:r>
    </w:p>
    <w:p w14:paraId="33AB380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（一）</w:t>
      </w:r>
      <w:r>
        <w:rPr>
          <w:rFonts w:hint="eastAsia" w:ascii="宋体" w:hAnsi="宋体" w:eastAsia="宋体" w:cs="宋体"/>
          <w:b/>
          <w:color w:val="auto"/>
          <w:sz w:val="24"/>
          <w:szCs w:val="24"/>
          <w:highlight w:val="none"/>
          <w:shd w:val="clear" w:color="auto" w:fill="auto"/>
          <w:lang w:eastAsia="zh-CN"/>
        </w:rPr>
        <w:t>响应文件</w:t>
      </w:r>
      <w:r>
        <w:rPr>
          <w:rFonts w:hint="eastAsia" w:ascii="宋体" w:hAnsi="宋体" w:eastAsia="宋体" w:cs="宋体"/>
          <w:b/>
          <w:color w:val="auto"/>
          <w:sz w:val="24"/>
          <w:szCs w:val="24"/>
          <w:highlight w:val="none"/>
          <w:shd w:val="clear" w:color="auto" w:fill="auto"/>
        </w:rPr>
        <w:t>的组成</w:t>
      </w:r>
    </w:p>
    <w:p w14:paraId="0B5A495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应按照</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的要求编制报价文件，提交包括证明其有资格进行报价和有能力履行合同的文件</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内容如下：</w:t>
      </w:r>
    </w:p>
    <w:p w14:paraId="055957B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投标函及开标一览表</w:t>
      </w:r>
    </w:p>
    <w:p w14:paraId="030F58DE">
      <w:pPr>
        <w:keepNext w:val="0"/>
        <w:keepLines w:val="0"/>
        <w:pageBreakBefore w:val="0"/>
        <w:widowControl w:val="0"/>
        <w:kinsoku/>
        <w:wordWrap/>
        <w:overflowPunct/>
        <w:topLinePunct w:val="0"/>
        <w:autoSpaceDE/>
        <w:autoSpaceDN/>
        <w:bidi w:val="0"/>
        <w:adjustRightInd/>
        <w:snapToGrid/>
        <w:spacing w:line="360" w:lineRule="auto"/>
        <w:ind w:firstLine="787" w:firstLineChars="328"/>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一、投标函</w:t>
      </w:r>
    </w:p>
    <w:p w14:paraId="0775236F">
      <w:pPr>
        <w:keepNext w:val="0"/>
        <w:keepLines w:val="0"/>
        <w:pageBreakBefore w:val="0"/>
        <w:widowControl w:val="0"/>
        <w:kinsoku/>
        <w:wordWrap/>
        <w:overflowPunct/>
        <w:topLinePunct w:val="0"/>
        <w:autoSpaceDE/>
        <w:autoSpaceDN/>
        <w:bidi w:val="0"/>
        <w:adjustRightInd/>
        <w:snapToGrid/>
        <w:spacing w:line="360" w:lineRule="auto"/>
        <w:ind w:firstLine="787" w:firstLineChars="328"/>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二、开标一览表</w:t>
      </w:r>
    </w:p>
    <w:p w14:paraId="7533535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资信标</w:t>
      </w:r>
    </w:p>
    <w:p w14:paraId="6C84BFD8">
      <w:pPr>
        <w:keepNext w:val="0"/>
        <w:keepLines w:val="0"/>
        <w:pageBreakBefore w:val="0"/>
        <w:widowControl w:val="0"/>
        <w:kinsoku/>
        <w:wordWrap/>
        <w:overflowPunct/>
        <w:topLinePunct w:val="0"/>
        <w:autoSpaceDE/>
        <w:autoSpaceDN/>
        <w:bidi w:val="0"/>
        <w:adjustRightInd/>
        <w:snapToGrid/>
        <w:spacing w:line="360" w:lineRule="auto"/>
        <w:ind w:firstLine="787" w:firstLineChars="328"/>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一、法定代表人（负责人）身份证明</w:t>
      </w:r>
    </w:p>
    <w:p w14:paraId="522166C7">
      <w:pPr>
        <w:keepNext w:val="0"/>
        <w:keepLines w:val="0"/>
        <w:pageBreakBefore w:val="0"/>
        <w:widowControl w:val="0"/>
        <w:kinsoku/>
        <w:wordWrap/>
        <w:overflowPunct/>
        <w:topLinePunct w:val="0"/>
        <w:autoSpaceDE/>
        <w:autoSpaceDN/>
        <w:bidi w:val="0"/>
        <w:adjustRightInd/>
        <w:snapToGrid/>
        <w:spacing w:line="360" w:lineRule="auto"/>
        <w:ind w:firstLine="787" w:firstLineChars="328"/>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二、授权委托书</w:t>
      </w:r>
    </w:p>
    <w:p w14:paraId="3D66C039">
      <w:pPr>
        <w:keepNext w:val="0"/>
        <w:keepLines w:val="0"/>
        <w:pageBreakBefore w:val="0"/>
        <w:widowControl w:val="0"/>
        <w:kinsoku/>
        <w:wordWrap/>
        <w:overflowPunct/>
        <w:topLinePunct w:val="0"/>
        <w:autoSpaceDE/>
        <w:autoSpaceDN/>
        <w:bidi w:val="0"/>
        <w:adjustRightInd/>
        <w:snapToGrid/>
        <w:spacing w:line="360" w:lineRule="auto"/>
        <w:ind w:firstLine="787" w:firstLineChars="328"/>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三、资格审查资料</w:t>
      </w:r>
    </w:p>
    <w:p w14:paraId="5FCB0C8C">
      <w:pPr>
        <w:keepNext w:val="0"/>
        <w:keepLines w:val="0"/>
        <w:pageBreakBefore w:val="0"/>
        <w:widowControl w:val="0"/>
        <w:kinsoku/>
        <w:wordWrap/>
        <w:overflowPunct/>
        <w:topLinePunct w:val="0"/>
        <w:autoSpaceDE/>
        <w:autoSpaceDN/>
        <w:bidi w:val="0"/>
        <w:adjustRightInd/>
        <w:snapToGrid/>
        <w:spacing w:line="360" w:lineRule="auto"/>
        <w:ind w:firstLine="787" w:firstLineChars="328"/>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四、业绩资料</w:t>
      </w:r>
    </w:p>
    <w:p w14:paraId="4E142819">
      <w:pPr>
        <w:keepNext w:val="0"/>
        <w:keepLines w:val="0"/>
        <w:pageBreakBefore w:val="0"/>
        <w:widowControl w:val="0"/>
        <w:kinsoku/>
        <w:wordWrap/>
        <w:overflowPunct/>
        <w:topLinePunct w:val="0"/>
        <w:autoSpaceDE/>
        <w:autoSpaceDN/>
        <w:bidi w:val="0"/>
        <w:adjustRightInd/>
        <w:snapToGrid/>
        <w:spacing w:line="360" w:lineRule="auto"/>
        <w:ind w:firstLine="787" w:firstLineChars="328"/>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五、拟投入本项目从业人员</w:t>
      </w:r>
    </w:p>
    <w:p w14:paraId="7AE9A890">
      <w:pPr>
        <w:keepNext w:val="0"/>
        <w:keepLines w:val="0"/>
        <w:pageBreakBefore w:val="0"/>
        <w:widowControl w:val="0"/>
        <w:kinsoku/>
        <w:wordWrap/>
        <w:overflowPunct/>
        <w:topLinePunct w:val="0"/>
        <w:autoSpaceDE/>
        <w:autoSpaceDN/>
        <w:bidi w:val="0"/>
        <w:adjustRightInd/>
        <w:snapToGrid/>
        <w:spacing w:line="360" w:lineRule="auto"/>
        <w:ind w:firstLine="787" w:firstLineChars="328"/>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六、企业获奖</w:t>
      </w:r>
    </w:p>
    <w:p w14:paraId="43199027">
      <w:pPr>
        <w:keepNext w:val="0"/>
        <w:keepLines w:val="0"/>
        <w:pageBreakBefore w:val="0"/>
        <w:widowControl w:val="0"/>
        <w:kinsoku/>
        <w:wordWrap/>
        <w:overflowPunct/>
        <w:topLinePunct w:val="0"/>
        <w:autoSpaceDE/>
        <w:autoSpaceDN/>
        <w:bidi w:val="0"/>
        <w:adjustRightInd/>
        <w:snapToGrid/>
        <w:spacing w:line="360" w:lineRule="auto"/>
        <w:ind w:firstLine="787" w:firstLineChars="328"/>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七、企业各类证书</w:t>
      </w:r>
    </w:p>
    <w:p w14:paraId="3D4BE314">
      <w:pPr>
        <w:keepNext w:val="0"/>
        <w:keepLines w:val="0"/>
        <w:pageBreakBefore w:val="0"/>
        <w:widowControl w:val="0"/>
        <w:kinsoku/>
        <w:wordWrap/>
        <w:overflowPunct/>
        <w:topLinePunct w:val="0"/>
        <w:autoSpaceDE/>
        <w:autoSpaceDN/>
        <w:bidi w:val="0"/>
        <w:adjustRightInd/>
        <w:snapToGrid/>
        <w:spacing w:line="360" w:lineRule="auto"/>
        <w:ind w:firstLine="787" w:firstLineChars="328"/>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八、商务和技术偏差</w:t>
      </w:r>
    </w:p>
    <w:p w14:paraId="529B0BF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商务标</w:t>
      </w:r>
    </w:p>
    <w:p w14:paraId="0B21558A">
      <w:pPr>
        <w:keepNext w:val="0"/>
        <w:keepLines w:val="0"/>
        <w:pageBreakBefore w:val="0"/>
        <w:widowControl w:val="0"/>
        <w:kinsoku/>
        <w:wordWrap/>
        <w:overflowPunct/>
        <w:topLinePunct w:val="0"/>
        <w:autoSpaceDE/>
        <w:autoSpaceDN/>
        <w:bidi w:val="0"/>
        <w:adjustRightInd/>
        <w:snapToGrid/>
        <w:spacing w:line="360" w:lineRule="auto"/>
        <w:ind w:firstLine="787" w:firstLineChars="328"/>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一、分项报价表</w:t>
      </w:r>
    </w:p>
    <w:p w14:paraId="62773E66">
      <w:pPr>
        <w:keepNext w:val="0"/>
        <w:keepLines w:val="0"/>
        <w:pageBreakBefore w:val="0"/>
        <w:widowControl w:val="0"/>
        <w:kinsoku/>
        <w:wordWrap/>
        <w:overflowPunct/>
        <w:topLinePunct w:val="0"/>
        <w:autoSpaceDE/>
        <w:autoSpaceDN/>
        <w:bidi w:val="0"/>
        <w:adjustRightInd/>
        <w:snapToGrid/>
        <w:spacing w:line="360" w:lineRule="auto"/>
        <w:ind w:firstLine="787" w:firstLineChars="328"/>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二、节能环保产品证明</w:t>
      </w:r>
    </w:p>
    <w:p w14:paraId="53C85504">
      <w:pPr>
        <w:keepNext w:val="0"/>
        <w:keepLines w:val="0"/>
        <w:pageBreakBefore w:val="0"/>
        <w:widowControl w:val="0"/>
        <w:kinsoku/>
        <w:wordWrap/>
        <w:overflowPunct/>
        <w:topLinePunct w:val="0"/>
        <w:autoSpaceDE/>
        <w:autoSpaceDN/>
        <w:bidi w:val="0"/>
        <w:adjustRightInd/>
        <w:snapToGrid/>
        <w:spacing w:line="360" w:lineRule="auto"/>
        <w:ind w:firstLine="787" w:firstLineChars="328"/>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三、强制节能清单</w:t>
      </w:r>
    </w:p>
    <w:p w14:paraId="3DADF557">
      <w:pPr>
        <w:keepNext w:val="0"/>
        <w:keepLines w:val="0"/>
        <w:pageBreakBefore w:val="0"/>
        <w:widowControl w:val="0"/>
        <w:kinsoku/>
        <w:wordWrap/>
        <w:overflowPunct/>
        <w:topLinePunct w:val="0"/>
        <w:autoSpaceDE/>
        <w:autoSpaceDN/>
        <w:bidi w:val="0"/>
        <w:adjustRightInd/>
        <w:snapToGrid/>
        <w:spacing w:line="360" w:lineRule="auto"/>
        <w:ind w:firstLine="787" w:firstLineChars="328"/>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四、中小企业声明函</w:t>
      </w:r>
    </w:p>
    <w:p w14:paraId="15F739D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技术标</w:t>
      </w:r>
    </w:p>
    <w:p w14:paraId="05EC483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投标所需其他材料</w:t>
      </w:r>
    </w:p>
    <w:p w14:paraId="6D58EDE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五、投标报价</w:t>
      </w:r>
    </w:p>
    <w:p w14:paraId="2157828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1、本次磋商报价为非一次性报价； </w:t>
      </w:r>
    </w:p>
    <w:p w14:paraId="7912D5D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2、报价币种为人民币； </w:t>
      </w:r>
    </w:p>
    <w:p w14:paraId="7741309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报价范围：各潜在供应商需根据采购文件中的要求，报价不得高于预算金额，否则无效。报价应包括但不限于货物、主件、软件、标准附件、包装、检验、运杂费（安装过程中产生的垃圾清理）、装卸费、保险费、检测费、设计费、安装费、调试费、测试及所有施工所需线缆辅材、安装工程、税金及质保期内提供服务、技术支持、培训、售后服务、验收费等所发生的所有费用以及招标文件明示和暗示的所有责任、义务和风险等全部费用，漏报则视为已包含在其他费用中。</w:t>
      </w:r>
    </w:p>
    <w:p w14:paraId="107ACDC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4、报价要求：各供应商初始报价时必须填报分项报价及初始总报价。 </w:t>
      </w:r>
    </w:p>
    <w:p w14:paraId="3D34B4B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5、“报价一览表”不允许涂抹、修改，表中相应内容的报价必须计算正确；如果大写金额与小写金额不一致，以大写为准； </w:t>
      </w:r>
    </w:p>
    <w:p w14:paraId="20B45AB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6、供应商对报价若有说明应在报价一览表备注处注明。本项目不接受可选择的磋商方案和价格。任何有选择的或可调整的报价方案和价格将被视为非响应性报价而被拒 绝。</w:t>
      </w:r>
    </w:p>
    <w:p w14:paraId="5772022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7、供应商免费提供的项目，应先填写该项目的实际价格，并注明免费。此项不计入总报价。 </w:t>
      </w:r>
      <w:r>
        <w:rPr>
          <w:rFonts w:hint="eastAsia" w:ascii="宋体" w:hAnsi="宋体" w:eastAsia="宋体" w:cs="宋体"/>
          <w:color w:val="auto"/>
          <w:sz w:val="24"/>
          <w:szCs w:val="24"/>
          <w:highlight w:val="none"/>
          <w:shd w:val="clear" w:color="auto" w:fill="auto"/>
        </w:rPr>
        <w:t xml:space="preserve">                                </w:t>
      </w:r>
    </w:p>
    <w:p w14:paraId="5DDD580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eastAsia="zh-CN"/>
        </w:rPr>
        <w:t>六、</w:t>
      </w:r>
      <w:r>
        <w:rPr>
          <w:rFonts w:hint="eastAsia" w:ascii="宋体" w:hAnsi="宋体" w:eastAsia="宋体" w:cs="宋体"/>
          <w:b/>
          <w:bCs/>
          <w:color w:val="auto"/>
          <w:sz w:val="24"/>
          <w:szCs w:val="24"/>
          <w:highlight w:val="none"/>
          <w:shd w:val="clear" w:color="auto" w:fill="auto"/>
        </w:rPr>
        <w:t>响应文件的编制</w:t>
      </w:r>
    </w:p>
    <w:p w14:paraId="7EB7FA3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响应文件应按第</w:t>
      </w:r>
      <w:r>
        <w:rPr>
          <w:rFonts w:hint="eastAsia" w:ascii="宋体" w:hAnsi="宋体" w:eastAsia="宋体" w:cs="宋体"/>
          <w:color w:val="auto"/>
          <w:sz w:val="24"/>
          <w:szCs w:val="24"/>
          <w:highlight w:val="none"/>
          <w:shd w:val="clear" w:color="auto" w:fill="auto"/>
          <w:lang w:eastAsia="zh-CN"/>
        </w:rPr>
        <w:t>五部分</w:t>
      </w:r>
      <w:r>
        <w:rPr>
          <w:rFonts w:hint="eastAsia" w:ascii="宋体" w:hAnsi="宋体" w:eastAsia="宋体" w:cs="宋体"/>
          <w:color w:val="auto"/>
          <w:sz w:val="24"/>
          <w:szCs w:val="24"/>
          <w:highlight w:val="none"/>
          <w:shd w:val="clear" w:color="auto" w:fill="auto"/>
        </w:rPr>
        <w:t>“响应文件格式”进行编写，如有必要，可以增加附页，作为响应文件的组成部分。其中，报价函附录应满足</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实质性要求。</w:t>
      </w:r>
    </w:p>
    <w:p w14:paraId="147125F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响应文件应当对</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有关工期、报价有效期、质量要求、技术标准和要求、采购范围等实质性内容做出响应。</w:t>
      </w:r>
    </w:p>
    <w:p w14:paraId="740C443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响应文件应用不褪色的材料书写或打印，并由供应商的法定代表人或其委托代理人签字或盖单位章。委托代理人签字的，响应文件应附法定代表人签署的授权委托书。响应文件应尽量避免涂改、行间插字或删除。如果出现上述情况，改动之处应加盖单位章或由供应商的法定代表人或其授权的代理人签字确认。签字或盖章的具体要求见供应商须知前附表。</w:t>
      </w:r>
    </w:p>
    <w:p w14:paraId="3B8B43A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响应文件正本一份，副本</w:t>
      </w:r>
      <w:r>
        <w:rPr>
          <w:rFonts w:hint="eastAsia" w:ascii="宋体" w:hAnsi="宋体" w:eastAsia="宋体" w:cs="宋体"/>
          <w:color w:val="auto"/>
          <w:sz w:val="24"/>
          <w:szCs w:val="24"/>
          <w:highlight w:val="none"/>
          <w:shd w:val="clear" w:color="auto" w:fill="auto"/>
          <w:lang w:eastAsia="zh-CN"/>
        </w:rPr>
        <w:t>三</w:t>
      </w:r>
      <w:r>
        <w:rPr>
          <w:rFonts w:hint="eastAsia" w:ascii="宋体" w:hAnsi="宋体" w:eastAsia="宋体" w:cs="宋体"/>
          <w:color w:val="auto"/>
          <w:sz w:val="24"/>
          <w:szCs w:val="24"/>
          <w:highlight w:val="none"/>
          <w:shd w:val="clear" w:color="auto" w:fill="auto"/>
        </w:rPr>
        <w:t>份，详见供应商须知前附表。正本和副本的封面上应清楚地标记“正本”或“副本”的字样。当副本和正本不一致时，以正本为准。</w:t>
      </w:r>
    </w:p>
    <w:p w14:paraId="0FEB367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响应文件的正本与副本应分别胶装成册，并编制目录，具体装订要求见供应商须知前附表规定。</w:t>
      </w:r>
    </w:p>
    <w:p w14:paraId="3137258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eastAsia="zh-CN"/>
        </w:rPr>
        <w:t>七</w:t>
      </w:r>
      <w:r>
        <w:rPr>
          <w:rFonts w:hint="eastAsia" w:ascii="宋体" w:hAnsi="宋体" w:eastAsia="宋体" w:cs="宋体"/>
          <w:b/>
          <w:bCs/>
          <w:color w:val="auto"/>
          <w:sz w:val="24"/>
          <w:szCs w:val="24"/>
          <w:highlight w:val="none"/>
          <w:shd w:val="clear" w:color="auto" w:fill="auto"/>
        </w:rPr>
        <w:t>、</w:t>
      </w:r>
      <w:r>
        <w:rPr>
          <w:rFonts w:hint="eastAsia" w:ascii="宋体" w:hAnsi="宋体" w:eastAsia="宋体" w:cs="宋体"/>
          <w:b/>
          <w:bCs/>
          <w:color w:val="auto"/>
          <w:sz w:val="24"/>
          <w:szCs w:val="24"/>
          <w:highlight w:val="none"/>
          <w:shd w:val="clear" w:color="auto" w:fill="auto"/>
          <w:lang w:eastAsia="zh-CN"/>
        </w:rPr>
        <w:t>响应文件</w:t>
      </w:r>
      <w:r>
        <w:rPr>
          <w:rFonts w:hint="eastAsia" w:ascii="宋体" w:hAnsi="宋体" w:eastAsia="宋体" w:cs="宋体"/>
          <w:b/>
          <w:bCs/>
          <w:color w:val="auto"/>
          <w:sz w:val="24"/>
          <w:szCs w:val="24"/>
          <w:highlight w:val="none"/>
          <w:shd w:val="clear" w:color="auto" w:fill="auto"/>
        </w:rPr>
        <w:t>的密封、标记、递交及修改</w:t>
      </w:r>
    </w:p>
    <w:p w14:paraId="4F8A7CE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1、响应文件的密封和标记</w:t>
      </w:r>
    </w:p>
    <w:p w14:paraId="28D6656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1.1供应商应将所有响应文件的正本和所有副本分别密封，并在封套的封口处加盖供应商单位章。</w:t>
      </w:r>
    </w:p>
    <w:p w14:paraId="1E6A53A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 响应文件的封套上应清楚地标记“正本”或“副本”字样，封套上应写明的其他内容见供应商须知前附表。</w:t>
      </w:r>
    </w:p>
    <w:p w14:paraId="47FB640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1.3 未按要求密封和加写标记的响应文件，采购人不予受理。</w:t>
      </w:r>
    </w:p>
    <w:p w14:paraId="20F9D93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2、响应文件的递交</w:t>
      </w:r>
    </w:p>
    <w:p w14:paraId="51B6FCF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2.1 供应商应在本章报价须知前附表规定的报价截止时间前递交响应文件。</w:t>
      </w:r>
    </w:p>
    <w:p w14:paraId="5E07AAF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2.2 供应商递交响应文件的地点：见供应商须知前附表。</w:t>
      </w:r>
    </w:p>
    <w:p w14:paraId="2A61E29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2.3 除供应商须知前附表另有规定外，供应商所递交的响应文件不予退还。</w:t>
      </w:r>
    </w:p>
    <w:p w14:paraId="1887B41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2.4 逾期送达的或者未送达指定地点的响应文件，采购人不予受理。</w:t>
      </w:r>
    </w:p>
    <w:p w14:paraId="4F057E4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3、响应文件的修改与撤回</w:t>
      </w:r>
    </w:p>
    <w:p w14:paraId="6B55818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3.1 在本章报价须知前附表规定的报价截止时间前，供应商可以修改或撤回已递交的响应文件，但应以书面形式通知采购人。</w:t>
      </w:r>
    </w:p>
    <w:p w14:paraId="1AC5352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3.2 供应商修改或撤回已递交响应文件的书面通知应按照要求签字或盖章。</w:t>
      </w:r>
    </w:p>
    <w:p w14:paraId="505E24C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3.3 修改、澄清的内容为响应文件的组成部分。修改、澄清的响应文件应按照规定进行编制、密封、标记和递交，并标明“修改”、“澄清”字样。</w:t>
      </w:r>
    </w:p>
    <w:p w14:paraId="0F4123C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eastAsia="zh-CN"/>
        </w:rPr>
        <w:t>八</w:t>
      </w:r>
      <w:r>
        <w:rPr>
          <w:rFonts w:hint="eastAsia" w:ascii="宋体" w:hAnsi="宋体" w:eastAsia="宋体" w:cs="宋体"/>
          <w:b/>
          <w:color w:val="auto"/>
          <w:sz w:val="24"/>
          <w:szCs w:val="24"/>
          <w:highlight w:val="none"/>
          <w:shd w:val="clear" w:color="auto" w:fill="auto"/>
        </w:rPr>
        <w:t>、报价有效期</w:t>
      </w:r>
    </w:p>
    <w:p w14:paraId="2BEA29D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（1）从报价之日起，有效期为90日历天。投标函的有效期比本须知规定的有效期短的，将被称为非响应报价，</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有权拒绝；</w:t>
      </w:r>
    </w:p>
    <w:p w14:paraId="358B9E9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（2）特殊情况下，在报价有效期满之前，</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可以以书面形式要求</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同意延长报价有效期。</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可以书面形式拒绝或接受上述要求。拒绝延长报价有效期的</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有权收回保证金；同意延长报价有效期的</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应当相应延长其保证金的有效期，但不得修改</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的实质性内容。</w:t>
      </w:r>
    </w:p>
    <w:p w14:paraId="4CEAB5D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4"/>
          <w:szCs w:val="24"/>
          <w:highlight w:val="none"/>
          <w:shd w:val="clear" w:color="auto" w:fill="auto"/>
          <w:lang w:eastAsia="zh-CN"/>
        </w:rPr>
      </w:pPr>
      <w:r>
        <w:rPr>
          <w:rFonts w:hint="eastAsia" w:ascii="宋体" w:hAnsi="宋体" w:eastAsia="宋体" w:cs="宋体"/>
          <w:b/>
          <w:bCs/>
          <w:color w:val="auto"/>
          <w:sz w:val="24"/>
          <w:szCs w:val="24"/>
          <w:highlight w:val="none"/>
          <w:shd w:val="clear" w:color="auto" w:fill="auto"/>
          <w:lang w:eastAsia="zh-CN"/>
        </w:rPr>
        <w:t>九</w:t>
      </w:r>
      <w:r>
        <w:rPr>
          <w:rFonts w:hint="eastAsia" w:ascii="宋体" w:hAnsi="宋体" w:eastAsia="宋体" w:cs="宋体"/>
          <w:b/>
          <w:bCs/>
          <w:color w:val="auto"/>
          <w:sz w:val="24"/>
          <w:szCs w:val="24"/>
          <w:highlight w:val="none"/>
          <w:shd w:val="clear" w:color="auto" w:fill="auto"/>
        </w:rPr>
        <w:t>、开标</w:t>
      </w:r>
      <w:r>
        <w:rPr>
          <w:rFonts w:hint="eastAsia" w:ascii="宋体" w:hAnsi="宋体" w:eastAsia="宋体" w:cs="宋体"/>
          <w:b/>
          <w:bCs/>
          <w:color w:val="auto"/>
          <w:sz w:val="24"/>
          <w:szCs w:val="24"/>
          <w:highlight w:val="none"/>
          <w:shd w:val="clear" w:color="auto" w:fill="auto"/>
          <w:lang w:eastAsia="zh-CN"/>
        </w:rPr>
        <w:t>仪式</w:t>
      </w:r>
    </w:p>
    <w:p w14:paraId="664BEB3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、采购</w:t>
      </w:r>
      <w:r>
        <w:rPr>
          <w:rFonts w:hint="eastAsia" w:ascii="宋体" w:hAnsi="宋体" w:eastAsia="宋体" w:cs="宋体"/>
          <w:color w:val="auto"/>
          <w:sz w:val="24"/>
          <w:szCs w:val="24"/>
          <w:highlight w:val="none"/>
          <w:shd w:val="clear" w:color="auto" w:fill="auto"/>
        </w:rPr>
        <w:t>代理机构将于投标须知表规定的时间和地点举行开标会议，参加开标的供应商代表应签名报到，以证明其出席开标会议。供应商法定代表人或法定代表人委托的代理人必须出席开标会议，未按照文件要求规定参加开标会议的其投标按废标处理。</w:t>
      </w:r>
    </w:p>
    <w:p w14:paraId="786DF73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供应商需按投标须知表要求提供资格审查资料，所有</w:t>
      </w:r>
      <w:r>
        <w:rPr>
          <w:rFonts w:hint="eastAsia" w:ascii="宋体" w:hAnsi="宋体" w:eastAsia="宋体" w:cs="宋体"/>
          <w:color w:val="auto"/>
          <w:sz w:val="24"/>
          <w:szCs w:val="24"/>
          <w:highlight w:val="none"/>
          <w:shd w:val="clear" w:color="auto" w:fill="auto"/>
          <w:lang w:eastAsia="zh-CN"/>
        </w:rPr>
        <w:t>材料</w:t>
      </w:r>
      <w:r>
        <w:rPr>
          <w:rFonts w:hint="eastAsia" w:ascii="宋体" w:hAnsi="宋体" w:eastAsia="宋体" w:cs="宋体"/>
          <w:color w:val="auto"/>
          <w:sz w:val="24"/>
          <w:szCs w:val="24"/>
          <w:highlight w:val="none"/>
          <w:shd w:val="clear" w:color="auto" w:fill="auto"/>
        </w:rPr>
        <w:t>在投标截止时间前提供，逾期不予接收。</w:t>
      </w:r>
      <w:r>
        <w:rPr>
          <w:rFonts w:hint="eastAsia" w:ascii="宋体" w:hAnsi="宋体" w:eastAsia="宋体" w:cs="宋体"/>
          <w:color w:val="auto"/>
          <w:sz w:val="24"/>
          <w:szCs w:val="24"/>
          <w:highlight w:val="none"/>
          <w:shd w:val="clear" w:color="auto" w:fill="auto"/>
          <w:lang w:eastAsia="zh-CN"/>
        </w:rPr>
        <w:t>评审委员会</w:t>
      </w:r>
      <w:r>
        <w:rPr>
          <w:rFonts w:hint="eastAsia" w:ascii="宋体" w:hAnsi="宋体" w:eastAsia="宋体" w:cs="宋体"/>
          <w:color w:val="auto"/>
          <w:sz w:val="24"/>
          <w:szCs w:val="24"/>
          <w:highlight w:val="none"/>
          <w:shd w:val="clear" w:color="auto" w:fill="auto"/>
        </w:rPr>
        <w:t>仅根据各供应商现场提供的资格、资质等相关资料原件确认其资格，不接受任何形式的说明，各供应商为自行提供的资料真实性负完全责任。</w:t>
      </w:r>
    </w:p>
    <w:p w14:paraId="127EB01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开标</w:t>
      </w:r>
    </w:p>
    <w:p w14:paraId="46C52A6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开标会议由代理机构主持，采购人代表、供应商代表及有关工作人员参加。在由代理机构人员或公证人员</w:t>
      </w:r>
      <w:r>
        <w:rPr>
          <w:rFonts w:hint="eastAsia" w:ascii="宋体" w:hAnsi="宋体" w:eastAsia="宋体" w:cs="宋体"/>
          <w:color w:val="auto"/>
          <w:sz w:val="24"/>
          <w:szCs w:val="24"/>
          <w:highlight w:val="none"/>
          <w:shd w:val="clear" w:color="auto" w:fill="auto"/>
          <w:lang w:eastAsia="zh-CN"/>
        </w:rPr>
        <w:t>（如有）</w:t>
      </w:r>
      <w:r>
        <w:rPr>
          <w:rFonts w:hint="eastAsia" w:ascii="宋体" w:hAnsi="宋体" w:eastAsia="宋体" w:cs="宋体"/>
          <w:color w:val="auto"/>
          <w:sz w:val="24"/>
          <w:szCs w:val="24"/>
          <w:highlight w:val="none"/>
          <w:shd w:val="clear" w:color="auto" w:fill="auto"/>
        </w:rPr>
        <w:t>确认响应文件密封完好的情况下，由工作人员当众开启。工作人员按照递交磋商文件的登记时间先后顺序作为唱标顺序，依次宣读供应商名称、投标报价和响应文件的其它主要内容。</w:t>
      </w:r>
    </w:p>
    <w:p w14:paraId="34EEF33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开标过程记录在案，供应商在开标记录上签字确认。</w:t>
      </w:r>
    </w:p>
    <w:p w14:paraId="7F3210F1">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eastAsia="zh-CN"/>
        </w:rPr>
        <w:t>十</w:t>
      </w:r>
      <w:r>
        <w:rPr>
          <w:rFonts w:hint="eastAsia" w:ascii="宋体" w:hAnsi="宋体" w:eastAsia="宋体" w:cs="宋体"/>
          <w:b/>
          <w:color w:val="auto"/>
          <w:sz w:val="24"/>
          <w:szCs w:val="24"/>
          <w:highlight w:val="none"/>
          <w:shd w:val="clear" w:color="auto" w:fill="auto"/>
        </w:rPr>
        <w:t>、评审</w:t>
      </w:r>
    </w:p>
    <w:p w14:paraId="726618B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评审委员会</w:t>
      </w:r>
    </w:p>
    <w:p w14:paraId="6154AA0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将根据本项目的特点，按照</w:t>
      </w:r>
      <w:r>
        <w:rPr>
          <w:rFonts w:hint="eastAsia" w:ascii="宋体" w:hAnsi="宋体" w:eastAsia="宋体" w:cs="宋体"/>
          <w:color w:val="auto"/>
          <w:sz w:val="24"/>
          <w:szCs w:val="24"/>
          <w:highlight w:val="none"/>
          <w:shd w:val="clear" w:color="auto" w:fill="auto"/>
          <w:lang w:eastAsia="zh-CN"/>
        </w:rPr>
        <w:t>法律法规</w:t>
      </w:r>
      <w:r>
        <w:rPr>
          <w:rFonts w:hint="eastAsia" w:ascii="宋体" w:hAnsi="宋体" w:eastAsia="宋体" w:cs="宋体"/>
          <w:color w:val="auto"/>
          <w:sz w:val="24"/>
          <w:szCs w:val="24"/>
          <w:highlight w:val="none"/>
          <w:shd w:val="clear" w:color="auto" w:fill="auto"/>
        </w:rPr>
        <w:t>规定组建</w:t>
      </w:r>
      <w:r>
        <w:rPr>
          <w:rFonts w:hint="eastAsia" w:ascii="宋体" w:hAnsi="宋体" w:eastAsia="宋体" w:cs="宋体"/>
          <w:color w:val="auto"/>
          <w:sz w:val="24"/>
          <w:szCs w:val="24"/>
          <w:highlight w:val="none"/>
          <w:shd w:val="clear" w:color="auto" w:fill="auto"/>
          <w:lang w:eastAsia="zh-CN"/>
        </w:rPr>
        <w:t>评审委员会</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评审委员会</w:t>
      </w:r>
      <w:r>
        <w:rPr>
          <w:rFonts w:hint="eastAsia" w:ascii="宋体" w:hAnsi="宋体" w:eastAsia="宋体" w:cs="宋体"/>
          <w:color w:val="auto"/>
          <w:sz w:val="24"/>
          <w:szCs w:val="24"/>
          <w:highlight w:val="none"/>
          <w:shd w:val="clear" w:color="auto" w:fill="auto"/>
        </w:rPr>
        <w:t>对投标单位进行资格审查，</w:t>
      </w:r>
      <w:r>
        <w:rPr>
          <w:rFonts w:hint="eastAsia" w:ascii="宋体" w:hAnsi="宋体" w:eastAsia="宋体" w:cs="宋体"/>
          <w:color w:val="auto"/>
          <w:sz w:val="24"/>
          <w:szCs w:val="24"/>
          <w:highlight w:val="none"/>
          <w:shd w:val="clear" w:color="auto" w:fill="auto"/>
          <w:lang w:eastAsia="zh-CN"/>
        </w:rPr>
        <w:t>评审委员会</w:t>
      </w:r>
      <w:r>
        <w:rPr>
          <w:rFonts w:hint="eastAsia" w:ascii="宋体" w:hAnsi="宋体" w:eastAsia="宋体" w:cs="宋体"/>
          <w:color w:val="auto"/>
          <w:sz w:val="24"/>
          <w:szCs w:val="24"/>
          <w:highlight w:val="none"/>
          <w:shd w:val="clear" w:color="auto" w:fill="auto"/>
        </w:rPr>
        <w:t>负责对</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进行审查、质疑、评审，推荐</w:t>
      </w:r>
      <w:r>
        <w:rPr>
          <w:rFonts w:hint="eastAsia" w:ascii="宋体" w:hAnsi="宋体" w:eastAsia="宋体" w:cs="宋体"/>
          <w:color w:val="auto"/>
          <w:sz w:val="24"/>
          <w:szCs w:val="24"/>
          <w:highlight w:val="none"/>
          <w:shd w:val="clear" w:color="auto" w:fill="auto"/>
          <w:lang w:eastAsia="zh-CN"/>
        </w:rPr>
        <w:t>中标候选人</w:t>
      </w:r>
      <w:r>
        <w:rPr>
          <w:rFonts w:hint="eastAsia" w:ascii="宋体" w:hAnsi="宋体" w:eastAsia="宋体" w:cs="宋体"/>
          <w:color w:val="auto"/>
          <w:sz w:val="24"/>
          <w:szCs w:val="24"/>
          <w:highlight w:val="none"/>
          <w:shd w:val="clear" w:color="auto" w:fill="auto"/>
        </w:rPr>
        <w:t xml:space="preserve">。 </w:t>
      </w:r>
    </w:p>
    <w:p w14:paraId="0CD8C24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2、评审原则</w:t>
      </w:r>
    </w:p>
    <w:p w14:paraId="3ED4291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“客观、公正、审慎”为本次评审的基本原则，</w:t>
      </w:r>
      <w:r>
        <w:rPr>
          <w:rFonts w:hint="eastAsia" w:ascii="宋体" w:hAnsi="宋体" w:eastAsia="宋体" w:cs="宋体"/>
          <w:color w:val="auto"/>
          <w:sz w:val="24"/>
          <w:szCs w:val="24"/>
          <w:highlight w:val="none"/>
          <w:shd w:val="clear" w:color="auto" w:fill="auto"/>
          <w:lang w:eastAsia="zh-CN"/>
        </w:rPr>
        <w:t>评审委员会</w:t>
      </w:r>
      <w:r>
        <w:rPr>
          <w:rFonts w:hint="eastAsia" w:ascii="宋体" w:hAnsi="宋体" w:eastAsia="宋体" w:cs="宋体"/>
          <w:color w:val="auto"/>
          <w:sz w:val="24"/>
          <w:szCs w:val="24"/>
          <w:highlight w:val="none"/>
          <w:shd w:val="clear" w:color="auto" w:fill="auto"/>
        </w:rPr>
        <w:t>将按照这一原则的要求，根据</w:t>
      </w:r>
      <w:r>
        <w:rPr>
          <w:rFonts w:hint="eastAsia" w:ascii="宋体" w:hAnsi="宋体" w:eastAsia="宋体" w:cs="宋体"/>
          <w:color w:val="auto"/>
          <w:sz w:val="24"/>
          <w:szCs w:val="24"/>
          <w:highlight w:val="none"/>
          <w:shd w:val="clear" w:color="auto" w:fill="auto"/>
          <w:lang w:eastAsia="zh-CN"/>
        </w:rPr>
        <w:t>竞争性磋商文件</w:t>
      </w:r>
      <w:r>
        <w:rPr>
          <w:rFonts w:hint="eastAsia" w:ascii="宋体" w:hAnsi="宋体" w:eastAsia="宋体" w:cs="宋体"/>
          <w:color w:val="auto"/>
          <w:sz w:val="24"/>
          <w:szCs w:val="24"/>
          <w:highlight w:val="none"/>
          <w:shd w:val="clear" w:color="auto" w:fill="auto"/>
        </w:rPr>
        <w:t>的评审程序、评审方法、评审标准进行独立评审，同时在评审过程中遵守以下原则：</w:t>
      </w:r>
    </w:p>
    <w:p w14:paraId="08A7C4F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（1）客观性原则：</w:t>
      </w:r>
      <w:r>
        <w:rPr>
          <w:rFonts w:hint="eastAsia" w:ascii="宋体" w:hAnsi="宋体" w:eastAsia="宋体" w:cs="宋体"/>
          <w:color w:val="auto"/>
          <w:sz w:val="24"/>
          <w:szCs w:val="24"/>
          <w:highlight w:val="none"/>
          <w:shd w:val="clear" w:color="auto" w:fill="auto"/>
          <w:lang w:eastAsia="zh-CN"/>
        </w:rPr>
        <w:t>评审委员会</w:t>
      </w:r>
      <w:r>
        <w:rPr>
          <w:rFonts w:hint="eastAsia" w:ascii="宋体" w:hAnsi="宋体" w:eastAsia="宋体" w:cs="宋体"/>
          <w:color w:val="auto"/>
          <w:sz w:val="24"/>
          <w:szCs w:val="24"/>
          <w:highlight w:val="none"/>
          <w:shd w:val="clear" w:color="auto" w:fill="auto"/>
        </w:rPr>
        <w:t>将严格按照</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的要求，对</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进行认真评审；</w:t>
      </w:r>
      <w:r>
        <w:rPr>
          <w:rFonts w:hint="eastAsia" w:ascii="宋体" w:hAnsi="宋体" w:eastAsia="宋体" w:cs="宋体"/>
          <w:color w:val="auto"/>
          <w:sz w:val="24"/>
          <w:szCs w:val="24"/>
          <w:highlight w:val="none"/>
          <w:shd w:val="clear" w:color="auto" w:fill="auto"/>
          <w:lang w:eastAsia="zh-CN"/>
        </w:rPr>
        <w:t>评审委员会</w:t>
      </w:r>
      <w:r>
        <w:rPr>
          <w:rFonts w:hint="eastAsia" w:ascii="宋体" w:hAnsi="宋体" w:eastAsia="宋体" w:cs="宋体"/>
          <w:color w:val="auto"/>
          <w:sz w:val="24"/>
          <w:szCs w:val="24"/>
          <w:highlight w:val="none"/>
          <w:shd w:val="clear" w:color="auto" w:fill="auto"/>
        </w:rPr>
        <w:t>对</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的评审仅依据</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本身，而不依据</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以外的任何因素。</w:t>
      </w:r>
    </w:p>
    <w:p w14:paraId="172D7FD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（2）统一性原则：</w:t>
      </w:r>
      <w:r>
        <w:rPr>
          <w:rFonts w:hint="eastAsia" w:ascii="宋体" w:hAnsi="宋体" w:eastAsia="宋体" w:cs="宋体"/>
          <w:color w:val="auto"/>
          <w:sz w:val="24"/>
          <w:szCs w:val="24"/>
          <w:highlight w:val="none"/>
          <w:shd w:val="clear" w:color="auto" w:fill="auto"/>
          <w:lang w:eastAsia="zh-CN"/>
        </w:rPr>
        <w:t>评审委员会</w:t>
      </w:r>
      <w:r>
        <w:rPr>
          <w:rFonts w:hint="eastAsia" w:ascii="宋体" w:hAnsi="宋体" w:eastAsia="宋体" w:cs="宋体"/>
          <w:color w:val="auto"/>
          <w:sz w:val="24"/>
          <w:szCs w:val="24"/>
          <w:highlight w:val="none"/>
          <w:shd w:val="clear" w:color="auto" w:fill="auto"/>
        </w:rPr>
        <w:t>将按照统一的评审原则和评审方法，用同一标准进行评审。</w:t>
      </w:r>
    </w:p>
    <w:p w14:paraId="4158567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（3）独立性原则：评审工作在</w:t>
      </w:r>
      <w:r>
        <w:rPr>
          <w:rFonts w:hint="eastAsia" w:ascii="宋体" w:hAnsi="宋体" w:eastAsia="宋体" w:cs="宋体"/>
          <w:color w:val="auto"/>
          <w:sz w:val="24"/>
          <w:szCs w:val="24"/>
          <w:highlight w:val="none"/>
          <w:shd w:val="clear" w:color="auto" w:fill="auto"/>
          <w:lang w:eastAsia="zh-CN"/>
        </w:rPr>
        <w:t>评审委员会</w:t>
      </w:r>
      <w:r>
        <w:rPr>
          <w:rFonts w:hint="eastAsia" w:ascii="宋体" w:hAnsi="宋体" w:eastAsia="宋体" w:cs="宋体"/>
          <w:color w:val="auto"/>
          <w:sz w:val="24"/>
          <w:szCs w:val="24"/>
          <w:highlight w:val="none"/>
          <w:shd w:val="clear" w:color="auto" w:fill="auto"/>
        </w:rPr>
        <w:t>内部独立进行，不受外界任何因素的干扰和影响。</w:t>
      </w:r>
    </w:p>
    <w:p w14:paraId="1199DE9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（4）保密性原则：</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将采取必要的措施，保证评审在严格保密的情况下进行。</w:t>
      </w:r>
    </w:p>
    <w:p w14:paraId="7B2A76F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（5）综合性原则：</w:t>
      </w:r>
      <w:r>
        <w:rPr>
          <w:rFonts w:hint="eastAsia" w:ascii="宋体" w:hAnsi="宋体" w:eastAsia="宋体" w:cs="宋体"/>
          <w:color w:val="auto"/>
          <w:sz w:val="24"/>
          <w:szCs w:val="24"/>
          <w:highlight w:val="none"/>
          <w:shd w:val="clear" w:color="auto" w:fill="auto"/>
          <w:lang w:eastAsia="zh-CN"/>
        </w:rPr>
        <w:t>评审委员会</w:t>
      </w:r>
      <w:r>
        <w:rPr>
          <w:rFonts w:hint="eastAsia" w:ascii="宋体" w:hAnsi="宋体" w:eastAsia="宋体" w:cs="宋体"/>
          <w:color w:val="auto"/>
          <w:sz w:val="24"/>
          <w:szCs w:val="24"/>
          <w:highlight w:val="none"/>
          <w:shd w:val="clear" w:color="auto" w:fill="auto"/>
        </w:rPr>
        <w:t>将综合分析、评审</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的各项指标，而不以单项指标的优劣评定出中标</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 xml:space="preserve">。 </w:t>
      </w:r>
    </w:p>
    <w:p w14:paraId="0E76A50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3、评审程序</w:t>
      </w:r>
    </w:p>
    <w:p w14:paraId="706F4C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（1）公开报价</w:t>
      </w:r>
    </w:p>
    <w:p w14:paraId="48E093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采购代理机构将对所有参与</w:t>
      </w:r>
      <w:r>
        <w:rPr>
          <w:rFonts w:hint="eastAsia" w:ascii="宋体" w:hAnsi="宋体" w:eastAsia="宋体" w:cs="宋体"/>
          <w:color w:val="auto"/>
          <w:sz w:val="24"/>
          <w:highlight w:val="none"/>
          <w:lang w:eastAsia="zh-CN"/>
        </w:rPr>
        <w:t>开标</w:t>
      </w:r>
      <w:r>
        <w:rPr>
          <w:rFonts w:hint="eastAsia" w:ascii="宋体" w:hAnsi="宋体" w:eastAsia="宋体" w:cs="宋体"/>
          <w:color w:val="auto"/>
          <w:sz w:val="24"/>
          <w:highlight w:val="none"/>
        </w:rPr>
        <w:t>的供应商的报价内容进行公开报价。</w:t>
      </w:r>
    </w:p>
    <w:p w14:paraId="33FDDF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（2）初步评审</w:t>
      </w:r>
    </w:p>
    <w:p w14:paraId="14EBFB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响应文件的初审分为资格性检查和符合性检查。资格性检查指</w:t>
      </w: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根据依据法律、法规和</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文件的规定，对响应文件中的资格、资质证明文件等进行审查，以确定</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是否具备投标资格，资格审查不合格的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不再进入下一阶段评审。符合性检查指依据</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文件的规定，从响应文件的有效性、完整性和对</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文件的响应程度进行审查，以确定</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是否对</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文件的实质性要求作出响应。</w:t>
      </w: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逐项列出响应文件的投标偏差，允许</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修改响应文件中不构成重大偏离的、微小的、非正规、不一致或不规则的地方，但是修改和补充的内容不能改变响应文件的实质性内容。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修改和补充的内容以书面材料为准，</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不能通过修正或撤销响应文件中的不符之处而使投标成为实质性响应的投标。</w:t>
      </w:r>
    </w:p>
    <w:p w14:paraId="19339D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响应文件有下列情况之一的，为未能对</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文件做出实质性响应，按无效投标处理：</w:t>
      </w:r>
    </w:p>
    <w:p w14:paraId="6FBA967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文件要求签署；</w:t>
      </w:r>
    </w:p>
    <w:p w14:paraId="53837BE0">
      <w:pPr>
        <w:keepNext w:val="0"/>
        <w:keepLines w:val="0"/>
        <w:pageBreakBefore w:val="0"/>
        <w:widowControl w:val="0"/>
        <w:kinsoku/>
        <w:wordWrap/>
        <w:overflowPunct/>
        <w:topLinePunct w:val="0"/>
        <w:autoSpaceDE/>
        <w:autoSpaceDN/>
        <w:bidi w:val="0"/>
        <w:adjustRightInd/>
        <w:snapToGrid/>
        <w:spacing w:line="360" w:lineRule="auto"/>
        <w:ind w:left="239" w:leftChars="11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（2）没有按照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 xml:space="preserve">文件要求提交投标保证金（如有）的或金额不足的； </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（3）响应文件载明的</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项目完成期限超过</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 xml:space="preserve">文件规定的期限； </w:t>
      </w:r>
    </w:p>
    <w:p w14:paraId="1C24CAC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（4）未按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文件要求提供有关资格、资质文件或提供的有关资格、资质文件不真实；</w:t>
      </w:r>
    </w:p>
    <w:p w14:paraId="121DF3E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（5）响应文件载明的检验标准和方法等不符合</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 xml:space="preserve">文件的要求； </w:t>
      </w:r>
    </w:p>
    <w:p w14:paraId="2BAACEF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（6）响应文件中的技术参数明显不符合</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文件的要求；</w:t>
      </w:r>
    </w:p>
    <w:p w14:paraId="58AD220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（7）响应文件附有采购人或监管机构不能接受的条件；</w:t>
      </w:r>
    </w:p>
    <w:p w14:paraId="58BBF4E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（8）不符合</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文件中规定的其他实质性要求。</w:t>
      </w:r>
    </w:p>
    <w:p w14:paraId="3B8298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有下列情况之一者，其报价无效，但保证金不被没收：</w:t>
      </w:r>
    </w:p>
    <w:p w14:paraId="72B6A19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eastAsia="zh-CN"/>
        </w:rPr>
        <w:t>供应商</w:t>
      </w:r>
      <w:r>
        <w:rPr>
          <w:rFonts w:hint="eastAsia" w:ascii="宋体" w:hAnsi="宋体" w:eastAsia="宋体" w:cs="宋体"/>
          <w:color w:val="auto"/>
          <w:sz w:val="24"/>
          <w:highlight w:val="none"/>
        </w:rPr>
        <w:t>提供的有关资格、资质证明文件不真实，提供虚假材料；</w:t>
      </w:r>
    </w:p>
    <w:p w14:paraId="25E3B02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（2）提供的报价文件不完整；</w:t>
      </w:r>
    </w:p>
    <w:p w14:paraId="21D20DF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（3）提供的原件不齐全；</w:t>
      </w:r>
    </w:p>
    <w:p w14:paraId="580C628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（4）未按清单格式报价；</w:t>
      </w:r>
    </w:p>
    <w:p w14:paraId="3B699B9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（5）报价文件未按规定签署；</w:t>
      </w:r>
    </w:p>
    <w:p w14:paraId="39EF094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（6）未按规定递交保证金；</w:t>
      </w:r>
    </w:p>
    <w:p w14:paraId="19703C3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对报价文件的要求未做出实质性响应</w:t>
      </w:r>
    </w:p>
    <w:p w14:paraId="7B515C1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的报价超过了采购预算；</w:t>
      </w:r>
    </w:p>
    <w:p w14:paraId="5FDD5EB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（9）报价文件不符合</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文件要求的</w:t>
      </w:r>
      <w:r>
        <w:rPr>
          <w:rFonts w:hint="eastAsia" w:ascii="宋体" w:hAnsi="宋体" w:eastAsia="宋体" w:cs="宋体"/>
          <w:color w:val="auto"/>
          <w:sz w:val="24"/>
          <w:highlight w:val="none"/>
          <w:lang w:eastAsia="zh-CN"/>
        </w:rPr>
        <w:t>交货期</w:t>
      </w:r>
      <w:r>
        <w:rPr>
          <w:rFonts w:hint="eastAsia" w:ascii="宋体" w:hAnsi="宋体" w:eastAsia="宋体" w:cs="宋体"/>
          <w:color w:val="auto"/>
          <w:sz w:val="24"/>
          <w:highlight w:val="none"/>
        </w:rPr>
        <w:t>、付款方式的；</w:t>
      </w:r>
    </w:p>
    <w:p w14:paraId="0A603BB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未派出代表参加</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过程；</w:t>
      </w:r>
    </w:p>
    <w:p w14:paraId="599E3C1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采购文件中要求必备的证件未能提供；</w:t>
      </w:r>
    </w:p>
    <w:p w14:paraId="35EFC3F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（12）法律、法</w:t>
      </w:r>
      <w:r>
        <w:rPr>
          <w:rFonts w:hint="eastAsia" w:ascii="宋体" w:hAnsi="宋体" w:eastAsia="宋体" w:cs="宋体"/>
          <w:bCs/>
          <w:color w:val="auto"/>
          <w:sz w:val="24"/>
          <w:highlight w:val="none"/>
        </w:rPr>
        <w:t>规规定的其他情况。</w:t>
      </w:r>
    </w:p>
    <w:p w14:paraId="694EF5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有下列情况之一者，其报价无效，保证金将被没收：</w:t>
      </w:r>
    </w:p>
    <w:p w14:paraId="2140BEB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向</w:t>
      </w: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工作有关的人员提供不正当利益；</w:t>
      </w:r>
    </w:p>
    <w:p w14:paraId="591750B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（2）成交</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文件规定的要求签订合同；</w:t>
      </w:r>
    </w:p>
    <w:p w14:paraId="6C375A0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（3）成交</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未按规定交纳相关费用；</w:t>
      </w:r>
    </w:p>
    <w:p w14:paraId="5F54428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（4）法律、法规规定的其他情况。</w:t>
      </w:r>
    </w:p>
    <w:p w14:paraId="212AC2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有下列情况之一者，其报价无效，将取消其报价资格并负法律责任：</w:t>
      </w:r>
    </w:p>
    <w:p w14:paraId="1C8138E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提供的有关资格、资质证明文件不真实，提供虚假报价材料；</w:t>
      </w:r>
    </w:p>
    <w:p w14:paraId="50329D3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在报价有效期内撤回报价；</w:t>
      </w:r>
    </w:p>
    <w:p w14:paraId="00E41B6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（3）在整个</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过程中，</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有企图影响</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结果的任何不当活动；</w:t>
      </w:r>
    </w:p>
    <w:p w14:paraId="2AFE4FA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串通报价或采用不正当竞争方式；</w:t>
      </w:r>
    </w:p>
    <w:p w14:paraId="59C1A79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以任何方式诋毁其他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14:paraId="144EBF3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（6）法律、法规规定的其他情况。</w:t>
      </w:r>
    </w:p>
    <w:p w14:paraId="6BA8F6B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有上述行为之一的，采购人将严格依照有关法律、法规及规章的规定行使其权利。</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给采购人造成损失的，采购人有索赔的权利，</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应予以赔偿。</w:t>
      </w:r>
    </w:p>
    <w:p w14:paraId="597989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有下列情形之一的，属于</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相互串通报价：</w:t>
      </w:r>
    </w:p>
    <w:p w14:paraId="69E58D4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之间协商 报价等响应文件的实质性内容；</w:t>
      </w:r>
    </w:p>
    <w:p w14:paraId="7955225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之间约定成交</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14:paraId="3E88631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之间约定部分</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放弃报价或者成交；</w:t>
      </w:r>
    </w:p>
    <w:p w14:paraId="1DF4E6B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按照该组织要求协同报价；</w:t>
      </w:r>
    </w:p>
    <w:p w14:paraId="3F799A7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之间为谋取成交或者排斥特定</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而采取的其他联合行动。</w:t>
      </w:r>
    </w:p>
    <w:p w14:paraId="1F287F4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的响应文件由同一单位或者个人编制；</w:t>
      </w:r>
    </w:p>
    <w:p w14:paraId="1B21B51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委托同一单位或者个人办理报价事宜；</w:t>
      </w:r>
    </w:p>
    <w:p w14:paraId="402EF18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的响应文件载明的项目管理成员为同一人；</w:t>
      </w:r>
    </w:p>
    <w:p w14:paraId="677EDBE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的响应文件异常一致或者报价呈规律性差异；</w:t>
      </w:r>
    </w:p>
    <w:p w14:paraId="36B024C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的响应文件相互混装；</w:t>
      </w:r>
    </w:p>
    <w:p w14:paraId="2656DDF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的报价保证金从同一单位或者个人的账户转出。</w:t>
      </w:r>
    </w:p>
    <w:p w14:paraId="22F79F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有下列情形之一的，属于以其他方式弄虚作假的行为：</w:t>
      </w:r>
    </w:p>
    <w:p w14:paraId="03C3D6B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（1）使用伪造、变造的许可证件；</w:t>
      </w:r>
    </w:p>
    <w:p w14:paraId="05D1841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（2）提供虚假的财务状况或者业绩；</w:t>
      </w:r>
    </w:p>
    <w:p w14:paraId="611A559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（3）提供虚假的项目负责人或者主要技术人员简历、劳动关系证明；</w:t>
      </w:r>
    </w:p>
    <w:p w14:paraId="4317778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（4）提供虚假的信用状况；</w:t>
      </w:r>
    </w:p>
    <w:p w14:paraId="1CFC1B5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（5）其他弄虚作假的行为。</w:t>
      </w:r>
    </w:p>
    <w:p w14:paraId="2FA2FC0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3.2关于投标报价的评审</w:t>
      </w:r>
    </w:p>
    <w:p w14:paraId="3E12731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对超出项目预算的报价或低于成本价的报价予以淘汰。</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的报价明显低于其他投标报价且不能合理说明或者不能提供证明材料，由</w:t>
      </w: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认定作为无效投标处理。</w:t>
      </w:r>
    </w:p>
    <w:p w14:paraId="0F9EE8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初审中，对价格的计算错误按下述原则修正： </w:t>
      </w:r>
    </w:p>
    <w:p w14:paraId="4CD64E5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（1）如果单价乘数量不等于总价，应以单价为准，并修正总价；</w:t>
      </w:r>
    </w:p>
    <w:p w14:paraId="4CF665D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（2）如果以文字表示的数据与数字表示的有差别，应以文字为准，并修正数字；</w:t>
      </w:r>
    </w:p>
    <w:p w14:paraId="433C018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（3）如果“开标一览表”与“报价明细表”不一致，以“开标一览表”中的价格为准修正。</w:t>
      </w:r>
    </w:p>
    <w:p w14:paraId="7CCFD29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不同意以上修正，则其投标将被拒绝。</w:t>
      </w:r>
    </w:p>
    <w:p w14:paraId="387D778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通过上述评审，确定入围</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。只有成为入围</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，才能进入询标和综合评审。</w:t>
      </w:r>
    </w:p>
    <w:p w14:paraId="583D20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rPr>
        <w:t>、关于澄清和答疑</w:t>
      </w:r>
    </w:p>
    <w:p w14:paraId="763EC3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有权向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提出疑问，请</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澄清其响应文件中不明确的内容，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有义务进行答疑和澄清，但澄清或说明的内容不得超出响应文件的范围或改变响应文件的实质性内容。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对澄清内容的答复以书面材料为准，澄清的内容将构成响应文件的组成部分。</w:t>
      </w:r>
    </w:p>
    <w:p w14:paraId="1E5D8F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磋商</w:t>
      </w:r>
    </w:p>
    <w:p w14:paraId="572E8E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将与通过资格审查和响应性审查的供应商进行磋商。在磋商中，任何一方不得透露与磋商有关的其他供应商的技术资料、价格和其他信息。磋商文件有实质性变动的，</w:t>
      </w: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将以书面形式通知所有参加磋商的供应商。</w:t>
      </w:r>
    </w:p>
    <w:p w14:paraId="30127B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①供应商在</w:t>
      </w: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规定的时间内按要求再次以书面形式报价和承诺，并由法定代表人或授权代理人签字确认。</w:t>
      </w:r>
    </w:p>
    <w:p w14:paraId="510FB7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②最后报价后，重大偏离不允许被修正，但</w:t>
      </w: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将允许修正报价中不构成重大偏离的地方，这些修正不会对其他实质上响应磋商文件要求的供应商的竞争地位产生不公正的影响。</w:t>
      </w:r>
    </w:p>
    <w:p w14:paraId="3779FE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③如出现供应商达不到法定数量，供应商最后报价均超出采购预算，</w:t>
      </w: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有权否决所有响应文件，采购人报请监督管理机构批准后另行采购。</w:t>
      </w:r>
    </w:p>
    <w:p w14:paraId="1C8F36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④在磋商过程中，</w:t>
      </w: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w:t>
      </w: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应当及时以书面形式同时通知所有参加磋商的供应商。供应商应当按照磋商文件的变动情况和</w:t>
      </w: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的要求重新提交响应文件，并由其法定代表人或授权代表签字或者加盖公章。由授权代表签字的，应当附法定代表人授权书。</w:t>
      </w:r>
    </w:p>
    <w:p w14:paraId="623DE6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推荐成交供应商</w:t>
      </w:r>
    </w:p>
    <w:p w14:paraId="170D71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本项目采用综合评分法：经磋商确定最终采购需求和提交最后报价的供应商后，由</w:t>
      </w:r>
      <w:r>
        <w:rPr>
          <w:rFonts w:hint="eastAsia" w:ascii="宋体" w:hAnsi="宋体" w:eastAsia="宋体" w:cs="宋体"/>
          <w:b/>
          <w:bCs/>
          <w:color w:val="auto"/>
          <w:sz w:val="24"/>
          <w:highlight w:val="none"/>
          <w:lang w:eastAsia="zh-CN"/>
        </w:rPr>
        <w:t>评审委员会</w:t>
      </w:r>
      <w:r>
        <w:rPr>
          <w:rFonts w:hint="eastAsia" w:ascii="宋体" w:hAnsi="宋体" w:eastAsia="宋体" w:cs="宋体"/>
          <w:b/>
          <w:bCs/>
          <w:color w:val="auto"/>
          <w:sz w:val="24"/>
          <w:highlight w:val="none"/>
        </w:rPr>
        <w:t>采用综合评分法对提交最后报价的供应商的响应文件和最后报价采用综合评分法进行评分。</w:t>
      </w:r>
      <w:r>
        <w:rPr>
          <w:rFonts w:hint="eastAsia" w:ascii="宋体" w:hAnsi="宋体" w:eastAsia="宋体" w:cs="宋体"/>
          <w:b/>
          <w:bCs/>
          <w:color w:val="auto"/>
          <w:sz w:val="24"/>
          <w:highlight w:val="none"/>
          <w:lang w:eastAsia="zh-CN"/>
        </w:rPr>
        <w:t>评审委员会</w:t>
      </w:r>
      <w:r>
        <w:rPr>
          <w:rFonts w:hint="eastAsia" w:ascii="宋体" w:hAnsi="宋体" w:eastAsia="宋体" w:cs="宋体"/>
          <w:b/>
          <w:bCs/>
          <w:color w:val="auto"/>
          <w:sz w:val="24"/>
          <w:highlight w:val="none"/>
        </w:rPr>
        <w:t>按照评分标准的规定对各有效</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进行综合评审，按最终得分由高到低推荐</w:t>
      </w:r>
      <w:r>
        <w:rPr>
          <w:rFonts w:hint="eastAsia" w:ascii="宋体" w:hAnsi="宋体" w:eastAsia="宋体" w:cs="宋体"/>
          <w:b/>
          <w:bCs/>
          <w:color w:val="auto"/>
          <w:sz w:val="24"/>
          <w:highlight w:val="none"/>
          <w:lang w:val="en-US" w:eastAsia="zh-CN"/>
        </w:rPr>
        <w:t>1-3</w:t>
      </w:r>
      <w:r>
        <w:rPr>
          <w:rFonts w:hint="eastAsia" w:ascii="宋体" w:hAnsi="宋体" w:eastAsia="宋体" w:cs="宋体"/>
          <w:b/>
          <w:bCs/>
          <w:color w:val="auto"/>
          <w:sz w:val="24"/>
          <w:highlight w:val="none"/>
        </w:rPr>
        <w:t>名</w:t>
      </w:r>
      <w:r>
        <w:rPr>
          <w:rFonts w:hint="eastAsia" w:ascii="宋体" w:hAnsi="宋体" w:eastAsia="宋体" w:cs="宋体"/>
          <w:b/>
          <w:bCs/>
          <w:color w:val="auto"/>
          <w:sz w:val="24"/>
          <w:highlight w:val="none"/>
          <w:lang w:eastAsia="zh-CN"/>
        </w:rPr>
        <w:t>成交</w:t>
      </w:r>
      <w:r>
        <w:rPr>
          <w:rFonts w:hint="eastAsia" w:ascii="宋体" w:hAnsi="宋体" w:eastAsia="宋体" w:cs="宋体"/>
          <w:b/>
          <w:bCs/>
          <w:color w:val="auto"/>
          <w:sz w:val="24"/>
          <w:highlight w:val="none"/>
        </w:rPr>
        <w:t>候选人。最终得分相同者，报价得分高者排名在前，投标报价得分也相同的，由</w:t>
      </w:r>
      <w:r>
        <w:rPr>
          <w:rFonts w:hint="eastAsia" w:ascii="宋体" w:hAnsi="宋体" w:eastAsia="宋体" w:cs="宋体"/>
          <w:b/>
          <w:bCs/>
          <w:color w:val="auto"/>
          <w:sz w:val="24"/>
          <w:highlight w:val="none"/>
          <w:lang w:eastAsia="zh-CN"/>
        </w:rPr>
        <w:t>评审委员会</w:t>
      </w:r>
      <w:r>
        <w:rPr>
          <w:rFonts w:hint="eastAsia" w:ascii="宋体" w:hAnsi="宋体" w:eastAsia="宋体" w:cs="宋体"/>
          <w:b/>
          <w:bCs/>
          <w:color w:val="auto"/>
          <w:sz w:val="24"/>
          <w:highlight w:val="none"/>
        </w:rPr>
        <w:t>按照技术得分由高到低的顺序确定。在原采购范围、内容及技术要求不变的情况下后一轮报价不得高于前一轮报价，且每一轮报价均不得高于预算和控制价，否则报价无效。</w:t>
      </w:r>
    </w:p>
    <w:p w14:paraId="1CCA73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当确定的成交供应商放弃成交或者因不可抗力提出不能履行合同时，采购人有权依照排名次序进行递补或重新采购，由此带来的损失由放弃的成交供应商全部承担。</w:t>
      </w:r>
    </w:p>
    <w:p w14:paraId="043C4E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具体评审方法如下：总分100分。评分过程中采用四舍五入法，并保留小数点后2位。供应商评审综合得分为评委会各成员评审后得分之和的平均分。</w:t>
      </w:r>
    </w:p>
    <w:p w14:paraId="29A008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（如发现供应商的价格可能低于企业成本的，应要求该供应商做出书面说明并提供相关证明材料。供应商不能合理说明或者不能提供相关证明材料，由</w:t>
      </w: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认定以低于成本恶意竞标，其报价做无效处理。）</w:t>
      </w:r>
    </w:p>
    <w:p w14:paraId="0DFF3C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评分标准：</w:t>
      </w:r>
    </w:p>
    <w:tbl>
      <w:tblPr>
        <w:tblStyle w:val="27"/>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221"/>
        <w:gridCol w:w="6826"/>
      </w:tblGrid>
      <w:tr w14:paraId="47E4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22" w:type="dxa"/>
            <w:noWrap w:val="0"/>
            <w:vAlign w:val="center"/>
          </w:tcPr>
          <w:p w14:paraId="3CA1E3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8047" w:type="dxa"/>
            <w:gridSpan w:val="2"/>
            <w:noWrap w:val="0"/>
            <w:vAlign w:val="center"/>
          </w:tcPr>
          <w:p w14:paraId="5F9CA4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评分标准详细说明</w:t>
            </w:r>
          </w:p>
        </w:tc>
      </w:tr>
      <w:tr w14:paraId="3BBF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622" w:type="dxa"/>
            <w:noWrap w:val="0"/>
            <w:vAlign w:val="center"/>
          </w:tcPr>
          <w:p w14:paraId="10B67E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商务标</w:t>
            </w:r>
          </w:p>
          <w:p w14:paraId="053CBC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8047" w:type="dxa"/>
            <w:gridSpan w:val="2"/>
            <w:noWrap w:val="0"/>
            <w:vAlign w:val="center"/>
          </w:tcPr>
          <w:p w14:paraId="5F6ECC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文件要求且报价最低的供应商的价格为投标基准价，其价格分为满分。其他供应商的价格得分统一按照下列公式计算：投标报价得分=(投标基准价/投标报价)×价格权值（30%）×100</w:t>
            </w:r>
          </w:p>
        </w:tc>
      </w:tr>
      <w:tr w14:paraId="710B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22" w:type="dxa"/>
            <w:vMerge w:val="restart"/>
            <w:noWrap w:val="0"/>
            <w:vAlign w:val="center"/>
          </w:tcPr>
          <w:p w14:paraId="46B583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技术标</w:t>
            </w:r>
          </w:p>
          <w:p w14:paraId="650748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1221" w:type="dxa"/>
            <w:noWrap w:val="0"/>
            <w:vAlign w:val="center"/>
          </w:tcPr>
          <w:p w14:paraId="08C5EB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技术参数（</w:t>
            </w:r>
            <w:r>
              <w:rPr>
                <w:rFonts w:hint="eastAsia" w:ascii="宋体" w:hAnsi="宋体" w:eastAsia="宋体" w:cs="宋体"/>
                <w:color w:val="auto"/>
                <w:sz w:val="24"/>
                <w:szCs w:val="24"/>
                <w:highlight w:val="none"/>
                <w:lang w:val="en-US" w:eastAsia="zh-CN"/>
              </w:rPr>
              <w:t>25分</w:t>
            </w:r>
            <w:r>
              <w:rPr>
                <w:rFonts w:hint="eastAsia" w:ascii="宋体" w:hAnsi="宋体" w:eastAsia="宋体" w:cs="宋体"/>
                <w:color w:val="auto"/>
                <w:sz w:val="24"/>
                <w:szCs w:val="24"/>
                <w:highlight w:val="none"/>
                <w:lang w:eastAsia="zh-CN"/>
              </w:rPr>
              <w:t>）</w:t>
            </w:r>
          </w:p>
        </w:tc>
        <w:tc>
          <w:tcPr>
            <w:tcW w:w="6826" w:type="dxa"/>
            <w:noWrap w:val="0"/>
            <w:vAlign w:val="center"/>
          </w:tcPr>
          <w:p w14:paraId="6B817A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响应文件需提供所投产品的真实参数，产品技术参数偏离情况必须在“技术偏离表”中逐项如实响应。所投产品技术指标、功能及配置完全满足或优于文件要求得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分。其中标识▲项为关键指标，关键指标不满足按废标处理；其他未标注指标，每有一项负偏离扣0.5分，扣完为止。</w:t>
            </w:r>
          </w:p>
        </w:tc>
      </w:tr>
      <w:tr w14:paraId="297E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22" w:type="dxa"/>
            <w:vMerge w:val="continue"/>
            <w:noWrap w:val="0"/>
            <w:vAlign w:val="center"/>
          </w:tcPr>
          <w:p w14:paraId="0186BF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p>
        </w:tc>
        <w:tc>
          <w:tcPr>
            <w:tcW w:w="1221" w:type="dxa"/>
            <w:noWrap w:val="0"/>
            <w:vAlign w:val="center"/>
          </w:tcPr>
          <w:p w14:paraId="49F8F2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技术性能（</w:t>
            </w:r>
            <w:r>
              <w:rPr>
                <w:rFonts w:hint="eastAsia" w:ascii="宋体" w:hAnsi="宋体" w:eastAsia="宋体" w:cs="宋体"/>
                <w:color w:val="auto"/>
                <w:sz w:val="24"/>
                <w:szCs w:val="24"/>
                <w:highlight w:val="none"/>
                <w:lang w:val="en-US" w:eastAsia="zh-CN"/>
              </w:rPr>
              <w:t>16分</w:t>
            </w:r>
            <w:r>
              <w:rPr>
                <w:rFonts w:hint="eastAsia" w:ascii="宋体" w:hAnsi="宋体" w:eastAsia="宋体" w:cs="宋体"/>
                <w:color w:val="auto"/>
                <w:sz w:val="24"/>
                <w:szCs w:val="24"/>
                <w:highlight w:val="none"/>
                <w:lang w:eastAsia="zh-CN"/>
              </w:rPr>
              <w:t>）</w:t>
            </w:r>
          </w:p>
        </w:tc>
        <w:tc>
          <w:tcPr>
            <w:tcW w:w="6826" w:type="dxa"/>
            <w:noWrap w:val="0"/>
            <w:vAlign w:val="center"/>
          </w:tcPr>
          <w:p w14:paraId="79C677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1、根据对所有合格供应商提供的产品配置、详细技术参数进行横向比较综合评定，</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中对产品进行描述一般0-2（含）分；提供的产品技术参数具体、详细能最大限度满足采购人需求得2-4（含）分，缺项不得分</w:t>
            </w:r>
            <w:r>
              <w:rPr>
                <w:rFonts w:hint="eastAsia" w:ascii="宋体" w:hAnsi="宋体" w:eastAsia="宋体" w:cs="宋体"/>
                <w:color w:val="auto"/>
                <w:sz w:val="24"/>
                <w:szCs w:val="24"/>
                <w:highlight w:val="none"/>
                <w:lang w:eastAsia="zh-CN"/>
              </w:rPr>
              <w:t>。</w:t>
            </w:r>
          </w:p>
          <w:p w14:paraId="01B448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2、根据产品耐用性、易维护性、先进性、稳定性、成熟度等情况综合评定，</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中对本项描述一般得0-2（分）；能最大限度满足采购人需求得2-4（含）分，缺项不得分</w:t>
            </w:r>
            <w:r>
              <w:rPr>
                <w:rFonts w:hint="eastAsia" w:ascii="宋体" w:hAnsi="宋体" w:eastAsia="宋体" w:cs="宋体"/>
                <w:color w:val="auto"/>
                <w:sz w:val="24"/>
                <w:szCs w:val="24"/>
                <w:highlight w:val="none"/>
                <w:lang w:eastAsia="zh-CN"/>
              </w:rPr>
              <w:t>。</w:t>
            </w:r>
          </w:p>
          <w:p w14:paraId="5844D3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3、根据供应商提供的设备功能模块的技术架构、对项目理解设计，具体实施方案及功能描述进行综合评定，</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中对方案进行描述一般0-2（含）分；提供的实施方案能最大限度满足采购人需求、功能描述具有针对性、技术架构方案完善合理，得2-4（含）分，缺项不得分</w:t>
            </w:r>
            <w:r>
              <w:rPr>
                <w:rFonts w:hint="eastAsia" w:ascii="宋体" w:hAnsi="宋体" w:eastAsia="宋体" w:cs="宋体"/>
                <w:color w:val="auto"/>
                <w:sz w:val="24"/>
                <w:szCs w:val="24"/>
                <w:highlight w:val="none"/>
                <w:lang w:eastAsia="zh-CN"/>
              </w:rPr>
              <w:t>。</w:t>
            </w:r>
          </w:p>
          <w:p w14:paraId="2419FB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4、综合考虑投标产品的升级服务等内容，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对本项描述一般得0-2（含）分；根据所提供本项目产品升级服务的灵活性、扩展性等因素能最大限度满足采购人需求，得2-4（含）分，缺项不得分</w:t>
            </w:r>
            <w:r>
              <w:rPr>
                <w:rFonts w:hint="eastAsia" w:ascii="宋体" w:hAnsi="宋体" w:eastAsia="宋体" w:cs="宋体"/>
                <w:color w:val="auto"/>
                <w:sz w:val="24"/>
                <w:szCs w:val="24"/>
                <w:highlight w:val="none"/>
                <w:lang w:eastAsia="zh-CN"/>
              </w:rPr>
              <w:t>。</w:t>
            </w:r>
          </w:p>
        </w:tc>
      </w:tr>
      <w:tr w14:paraId="2342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22" w:type="dxa"/>
            <w:vMerge w:val="continue"/>
            <w:noWrap w:val="0"/>
            <w:vAlign w:val="center"/>
          </w:tcPr>
          <w:p w14:paraId="27FA1A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p>
        </w:tc>
        <w:tc>
          <w:tcPr>
            <w:tcW w:w="1221" w:type="dxa"/>
            <w:noWrap w:val="0"/>
            <w:vAlign w:val="center"/>
          </w:tcPr>
          <w:p w14:paraId="56F1EB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实施方案（</w:t>
            </w:r>
            <w:r>
              <w:rPr>
                <w:rFonts w:hint="eastAsia" w:ascii="宋体" w:hAnsi="宋体" w:eastAsia="宋体" w:cs="宋体"/>
                <w:color w:val="auto"/>
                <w:sz w:val="24"/>
                <w:szCs w:val="24"/>
                <w:highlight w:val="none"/>
                <w:lang w:val="en-US" w:eastAsia="zh-CN"/>
              </w:rPr>
              <w:t>8分</w:t>
            </w:r>
            <w:r>
              <w:rPr>
                <w:rFonts w:hint="eastAsia" w:ascii="宋体" w:hAnsi="宋体" w:eastAsia="宋体" w:cs="宋体"/>
                <w:color w:val="auto"/>
                <w:sz w:val="24"/>
                <w:szCs w:val="24"/>
                <w:highlight w:val="none"/>
                <w:lang w:eastAsia="zh-CN"/>
              </w:rPr>
              <w:t>）</w:t>
            </w:r>
          </w:p>
        </w:tc>
        <w:tc>
          <w:tcPr>
            <w:tcW w:w="6826" w:type="dxa"/>
            <w:noWrap w:val="0"/>
            <w:vAlign w:val="center"/>
          </w:tcPr>
          <w:p w14:paraId="0B7C07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1、对供应商提供的项目调试和试运行方案进行综合评定，</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对本项进行描述得0-2（含）分；提供的此项描述最大限度满足采购人使用需求、调试和试运行方案周详且发挥设备最优性能，调试试运专业人员充足经验丰富、分工得当，此项方案详尽细致得2-4（含）分，缺项不得分</w:t>
            </w:r>
            <w:r>
              <w:rPr>
                <w:rFonts w:hint="eastAsia" w:ascii="宋体" w:hAnsi="宋体" w:eastAsia="宋体" w:cs="宋体"/>
                <w:color w:val="auto"/>
                <w:sz w:val="24"/>
                <w:szCs w:val="24"/>
                <w:highlight w:val="none"/>
                <w:lang w:eastAsia="zh-CN"/>
              </w:rPr>
              <w:t>。</w:t>
            </w:r>
          </w:p>
          <w:p w14:paraId="4BD4A1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2、对供应商提供的质量管理目标方案、</w:t>
            </w:r>
            <w:r>
              <w:rPr>
                <w:rFonts w:hint="eastAsia" w:ascii="宋体" w:hAnsi="宋体" w:eastAsia="宋体" w:cs="宋体"/>
                <w:color w:val="auto"/>
                <w:sz w:val="24"/>
                <w:szCs w:val="24"/>
                <w:highlight w:val="none"/>
                <w:lang w:eastAsia="zh-CN"/>
              </w:rPr>
              <w:t>供货安装</w:t>
            </w:r>
            <w:r>
              <w:rPr>
                <w:rFonts w:hint="eastAsia" w:ascii="宋体" w:hAnsi="宋体" w:eastAsia="宋体" w:cs="宋体"/>
                <w:color w:val="auto"/>
                <w:sz w:val="24"/>
                <w:szCs w:val="24"/>
                <w:highlight w:val="none"/>
              </w:rPr>
              <w:t>整体进度的计划与措施进行综合评定，</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中对此项进行描述得0-2（含）分；提供的此项描述最大限度满足采购人使用需求、内部管理制度完善，风险控制措施到位，进度安排合理，能确保项目的有效实施，此项方案详尽细致得2-4（含）分，缺项不得分</w:t>
            </w:r>
            <w:r>
              <w:rPr>
                <w:rFonts w:hint="eastAsia" w:ascii="宋体" w:hAnsi="宋体" w:eastAsia="宋体" w:cs="宋体"/>
                <w:color w:val="auto"/>
                <w:sz w:val="24"/>
                <w:szCs w:val="24"/>
                <w:highlight w:val="none"/>
                <w:lang w:eastAsia="zh-CN"/>
              </w:rPr>
              <w:t>。</w:t>
            </w:r>
          </w:p>
        </w:tc>
      </w:tr>
      <w:tr w14:paraId="51AB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22" w:type="dxa"/>
            <w:vMerge w:val="continue"/>
            <w:noWrap w:val="0"/>
            <w:vAlign w:val="center"/>
          </w:tcPr>
          <w:p w14:paraId="79CD12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p>
        </w:tc>
        <w:tc>
          <w:tcPr>
            <w:tcW w:w="1221" w:type="dxa"/>
            <w:noWrap w:val="0"/>
            <w:vAlign w:val="center"/>
          </w:tcPr>
          <w:p w14:paraId="7C6D2D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培训方案（</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lang w:eastAsia="zh-CN"/>
              </w:rPr>
              <w:t>）</w:t>
            </w:r>
          </w:p>
        </w:tc>
        <w:tc>
          <w:tcPr>
            <w:tcW w:w="6826" w:type="dxa"/>
            <w:noWrap w:val="0"/>
            <w:vAlign w:val="center"/>
          </w:tcPr>
          <w:p w14:paraId="4DAD97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1、根据供应商提供的本项目采购内容所涉及的技术功能培训方案进行综合评定，</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中对此项进行描述得0-1.5（含）分；提供的培训计划针对性强，具有合理的培训进度计划、详细的服务提升培训计划，技术培训方案科学合理，能最大限度满足采购人需求得1.5-3（含）分，缺项不得分；</w:t>
            </w:r>
          </w:p>
          <w:p w14:paraId="2D4730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2、根据提供培训人员评定，</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中对此项进行描述得0-1.5（含）分；提供的培训人员针对采购项目内容的符合性强，培训人员专业，分工明确，能最大限度满足采购人需求得1.5-3（含）分，缺项不得分；</w:t>
            </w:r>
          </w:p>
        </w:tc>
      </w:tr>
      <w:tr w14:paraId="1BE7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22" w:type="dxa"/>
            <w:vMerge w:val="continue"/>
            <w:noWrap w:val="0"/>
            <w:vAlign w:val="center"/>
          </w:tcPr>
          <w:p w14:paraId="5602F1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p>
        </w:tc>
        <w:tc>
          <w:tcPr>
            <w:tcW w:w="1221" w:type="dxa"/>
            <w:noWrap w:val="0"/>
            <w:vAlign w:val="center"/>
          </w:tcPr>
          <w:p w14:paraId="5A446D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售后服务（</w:t>
            </w:r>
            <w:r>
              <w:rPr>
                <w:rFonts w:hint="eastAsia" w:ascii="宋体" w:hAnsi="宋体" w:eastAsia="宋体" w:cs="宋体"/>
                <w:color w:val="auto"/>
                <w:sz w:val="24"/>
                <w:szCs w:val="24"/>
                <w:highlight w:val="none"/>
                <w:lang w:val="en-US" w:eastAsia="zh-CN"/>
              </w:rPr>
              <w:t>9分</w:t>
            </w:r>
            <w:r>
              <w:rPr>
                <w:rFonts w:hint="eastAsia" w:ascii="宋体" w:hAnsi="宋体" w:eastAsia="宋体" w:cs="宋体"/>
                <w:color w:val="auto"/>
                <w:sz w:val="24"/>
                <w:szCs w:val="24"/>
                <w:highlight w:val="none"/>
                <w:lang w:eastAsia="zh-CN"/>
              </w:rPr>
              <w:t>）</w:t>
            </w:r>
          </w:p>
        </w:tc>
        <w:tc>
          <w:tcPr>
            <w:tcW w:w="6826" w:type="dxa"/>
            <w:noWrap w:val="0"/>
            <w:vAlign w:val="center"/>
          </w:tcPr>
          <w:p w14:paraId="6425D5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1、根据供应商对设备质保内及质保期外的维保方案：软件升级、硬件维护、后续技术支持、维保人员安排、定期巡检等情况综合评定，</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中对此项进行描述得0-1.5（含）分；能最大限度满足采购人需求得1.5-3（含）分，缺项不得分；</w:t>
            </w:r>
          </w:p>
          <w:p w14:paraId="4F981D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2、售后服务保证措施：根据拟投入售后服务人员及用于本项目的所需设备、服务保证措施和应用技术支持，进行综合评分，</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中对此项进行描述得0-1.5（含）分；能最大限度满足采购人需求得1.5-3（含）分，缺项不得分；</w:t>
            </w:r>
          </w:p>
          <w:p w14:paraId="0BE852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3、售后服务承诺：根据售后服务内容全面、措施完善，能提供优质的售后服务，故障、技术支持响应和解决问题时间快等进行综合评分，</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中对此项进行描述得0-1.5（含）分；能最大限度满足采购人需求得1.5-3（含）分，缺项不得分；</w:t>
            </w:r>
          </w:p>
        </w:tc>
      </w:tr>
      <w:tr w14:paraId="22F6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22" w:type="dxa"/>
            <w:noWrap w:val="0"/>
            <w:vAlign w:val="center"/>
          </w:tcPr>
          <w:p w14:paraId="400D5E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资信标</w:t>
            </w:r>
          </w:p>
          <w:p w14:paraId="33E58C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1221" w:type="dxa"/>
            <w:noWrap w:val="0"/>
            <w:vAlign w:val="center"/>
          </w:tcPr>
          <w:p w14:paraId="0EC177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业绩</w:t>
            </w:r>
          </w:p>
          <w:p w14:paraId="4AF202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lang w:eastAsia="zh-CN"/>
              </w:rPr>
              <w:t>）</w:t>
            </w:r>
          </w:p>
        </w:tc>
        <w:tc>
          <w:tcPr>
            <w:tcW w:w="6826" w:type="dxa"/>
            <w:noWrap w:val="0"/>
            <w:vAlign w:val="center"/>
          </w:tcPr>
          <w:p w14:paraId="7C91C0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日以来的类似业绩，每提供一个业绩得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分，最高得6分。</w:t>
            </w:r>
          </w:p>
          <w:p w14:paraId="0CFE5F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注：业绩以供应商</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中所列业绩为准，</w:t>
            </w:r>
            <w:r>
              <w:rPr>
                <w:rFonts w:hint="eastAsia" w:ascii="宋体" w:hAnsi="宋体" w:eastAsia="宋体" w:cs="宋体"/>
                <w:color w:val="auto"/>
                <w:sz w:val="24"/>
                <w:szCs w:val="24"/>
                <w:highlight w:val="none"/>
                <w:lang w:eastAsia="zh-CN"/>
              </w:rPr>
              <w:t>响应文件中</w:t>
            </w:r>
            <w:r>
              <w:rPr>
                <w:rFonts w:hint="eastAsia" w:ascii="宋体" w:hAnsi="宋体" w:eastAsia="宋体" w:cs="宋体"/>
                <w:color w:val="auto"/>
                <w:sz w:val="24"/>
                <w:szCs w:val="24"/>
                <w:highlight w:val="none"/>
              </w:rPr>
              <w:t>需</w:t>
            </w:r>
            <w:r>
              <w:rPr>
                <w:rFonts w:hint="eastAsia" w:ascii="宋体" w:hAnsi="宋体" w:eastAsia="宋体" w:cs="宋体"/>
                <w:color w:val="auto"/>
                <w:sz w:val="24"/>
                <w:szCs w:val="24"/>
                <w:highlight w:val="none"/>
                <w:lang w:eastAsia="zh-CN"/>
              </w:rPr>
              <w:t>同时</w:t>
            </w:r>
            <w:r>
              <w:rPr>
                <w:rFonts w:hint="eastAsia" w:ascii="宋体" w:hAnsi="宋体" w:eastAsia="宋体" w:cs="宋体"/>
                <w:color w:val="auto"/>
                <w:sz w:val="24"/>
                <w:szCs w:val="24"/>
                <w:highlight w:val="none"/>
              </w:rPr>
              <w:t>提供合同和中标（成交）通知书</w:t>
            </w:r>
            <w:r>
              <w:rPr>
                <w:rFonts w:hint="eastAsia" w:ascii="宋体" w:hAnsi="宋体" w:eastAsia="宋体" w:cs="宋体"/>
                <w:color w:val="auto"/>
                <w:sz w:val="24"/>
                <w:szCs w:val="24"/>
                <w:highlight w:val="none"/>
                <w:lang w:eastAsia="zh-CN"/>
              </w:rPr>
              <w:t>复印件加盖公章</w:t>
            </w:r>
            <w:r>
              <w:rPr>
                <w:rFonts w:hint="eastAsia" w:ascii="宋体" w:hAnsi="宋体" w:eastAsia="宋体" w:cs="宋体"/>
                <w:color w:val="auto"/>
                <w:sz w:val="24"/>
                <w:szCs w:val="24"/>
                <w:highlight w:val="none"/>
              </w:rPr>
              <w:t>，二者缺一不可，时间以合同签订时间为准，否则不予计分，不提供的或提供不全的不予得分。</w:t>
            </w:r>
          </w:p>
        </w:tc>
      </w:tr>
    </w:tbl>
    <w:p w14:paraId="528F915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 xml:space="preserve"> 说明： </w:t>
      </w:r>
    </w:p>
    <w:p w14:paraId="62322CC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（1）以上所有评审办法将作为合同条款的一部分列入合同，</w:t>
      </w:r>
      <w:r>
        <w:rPr>
          <w:rFonts w:hint="eastAsia" w:ascii="宋体" w:hAnsi="宋体" w:eastAsia="宋体" w:cs="宋体"/>
          <w:color w:val="auto"/>
          <w:sz w:val="24"/>
          <w:szCs w:val="24"/>
          <w:highlight w:val="none"/>
          <w:shd w:val="clear" w:color="auto" w:fill="auto"/>
          <w:lang w:eastAsia="zh-CN"/>
        </w:rPr>
        <w:t>供应商响应文件</w:t>
      </w:r>
      <w:r>
        <w:rPr>
          <w:rFonts w:hint="eastAsia" w:ascii="宋体" w:hAnsi="宋体" w:eastAsia="宋体" w:cs="宋体"/>
          <w:color w:val="auto"/>
          <w:sz w:val="24"/>
          <w:szCs w:val="24"/>
          <w:highlight w:val="none"/>
          <w:shd w:val="clear" w:color="auto" w:fill="auto"/>
        </w:rPr>
        <w:t>所作承诺将作为合同要求，若有违反，</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有权对中标候选</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予以一定金额罚款，情节严重可以书面警告直接解除合同；</w:t>
      </w:r>
    </w:p>
    <w:p w14:paraId="0ED5AB8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不承诺最低价</w:t>
      </w:r>
      <w:r>
        <w:rPr>
          <w:rFonts w:hint="eastAsia" w:ascii="宋体" w:hAnsi="宋体" w:eastAsia="宋体" w:cs="宋体"/>
          <w:color w:val="auto"/>
          <w:sz w:val="24"/>
          <w:szCs w:val="24"/>
          <w:highlight w:val="none"/>
          <w:shd w:val="clear" w:color="auto" w:fill="auto"/>
          <w:lang w:eastAsia="zh-CN"/>
        </w:rPr>
        <w:t>中标</w:t>
      </w:r>
      <w:r>
        <w:rPr>
          <w:rFonts w:hint="eastAsia" w:ascii="宋体" w:hAnsi="宋体" w:eastAsia="宋体" w:cs="宋体"/>
          <w:color w:val="auto"/>
          <w:sz w:val="24"/>
          <w:szCs w:val="24"/>
          <w:highlight w:val="none"/>
          <w:shd w:val="clear" w:color="auto" w:fill="auto"/>
        </w:rPr>
        <w:t>，为防止恶性竞争，</w:t>
      </w:r>
      <w:r>
        <w:rPr>
          <w:rFonts w:hint="eastAsia" w:ascii="宋体" w:hAnsi="宋体" w:eastAsia="宋体" w:cs="宋体"/>
          <w:color w:val="auto"/>
          <w:sz w:val="24"/>
          <w:szCs w:val="24"/>
          <w:highlight w:val="none"/>
          <w:shd w:val="clear" w:color="auto" w:fill="auto"/>
          <w:lang w:eastAsia="zh-CN"/>
        </w:rPr>
        <w:t>评审委员会</w:t>
      </w:r>
      <w:r>
        <w:rPr>
          <w:rFonts w:hint="eastAsia" w:ascii="宋体" w:hAnsi="宋体" w:eastAsia="宋体" w:cs="宋体"/>
          <w:color w:val="auto"/>
          <w:sz w:val="24"/>
          <w:szCs w:val="24"/>
          <w:highlight w:val="none"/>
          <w:shd w:val="clear" w:color="auto" w:fill="auto"/>
        </w:rPr>
        <w:t xml:space="preserve">有权判定明显低于成本的报价为无效报价。  </w:t>
      </w:r>
    </w:p>
    <w:p w14:paraId="6423C2B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评审委员会</w:t>
      </w:r>
      <w:r>
        <w:rPr>
          <w:rFonts w:hint="eastAsia" w:ascii="宋体" w:hAnsi="宋体" w:eastAsia="宋体" w:cs="宋体"/>
          <w:color w:val="auto"/>
          <w:sz w:val="24"/>
          <w:szCs w:val="24"/>
          <w:highlight w:val="none"/>
          <w:shd w:val="clear" w:color="auto" w:fill="auto"/>
        </w:rPr>
        <w:t>成员严格按评标准进行打分，不得抬分、压分，有效评分票的平均分为</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的综合得分。</w:t>
      </w:r>
    </w:p>
    <w:p w14:paraId="16411B5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评审委员会</w:t>
      </w:r>
      <w:r>
        <w:rPr>
          <w:rFonts w:hint="eastAsia" w:ascii="宋体" w:hAnsi="宋体" w:eastAsia="宋体" w:cs="宋体"/>
          <w:color w:val="auto"/>
          <w:sz w:val="24"/>
          <w:szCs w:val="24"/>
          <w:highlight w:val="none"/>
          <w:shd w:val="clear" w:color="auto" w:fill="auto"/>
        </w:rPr>
        <w:t>可以要求</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对</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中含义不明确的内容作必要的澄清和说明，但澄清或说明不得超出</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的范围或改变</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 xml:space="preserve">的实质性内容。  </w:t>
      </w:r>
    </w:p>
    <w:p w14:paraId="0766925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rPr>
        <w:t>、特殊情况下的评审方法</w:t>
      </w:r>
    </w:p>
    <w:p w14:paraId="74EBBD0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如出现</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全部不符合</w:t>
      </w:r>
      <w:r>
        <w:rPr>
          <w:rFonts w:hint="eastAsia" w:ascii="宋体" w:hAnsi="宋体" w:eastAsia="宋体" w:cs="宋体"/>
          <w:color w:val="auto"/>
          <w:sz w:val="24"/>
          <w:szCs w:val="24"/>
          <w:highlight w:val="none"/>
          <w:shd w:val="clear" w:color="auto" w:fill="auto"/>
          <w:lang w:eastAsia="zh-CN"/>
        </w:rPr>
        <w:t>竞争性磋商文件</w:t>
      </w:r>
      <w:r>
        <w:rPr>
          <w:rFonts w:hint="eastAsia" w:ascii="宋体" w:hAnsi="宋体" w:eastAsia="宋体" w:cs="宋体"/>
          <w:color w:val="auto"/>
          <w:sz w:val="24"/>
          <w:szCs w:val="24"/>
          <w:highlight w:val="none"/>
          <w:shd w:val="clear" w:color="auto" w:fill="auto"/>
        </w:rPr>
        <w:t>要求、串通报价、报价均超项目预算，导致</w:t>
      </w:r>
      <w:r>
        <w:rPr>
          <w:rFonts w:hint="eastAsia" w:ascii="宋体" w:hAnsi="宋体" w:eastAsia="宋体" w:cs="宋体"/>
          <w:color w:val="auto"/>
          <w:sz w:val="24"/>
          <w:szCs w:val="24"/>
          <w:highlight w:val="none"/>
          <w:shd w:val="clear" w:color="auto" w:fill="auto"/>
          <w:lang w:eastAsia="zh-CN"/>
        </w:rPr>
        <w:t>评审委员会</w:t>
      </w:r>
      <w:r>
        <w:rPr>
          <w:rFonts w:hint="eastAsia" w:ascii="宋体" w:hAnsi="宋体" w:eastAsia="宋体" w:cs="宋体"/>
          <w:color w:val="auto"/>
          <w:sz w:val="24"/>
          <w:szCs w:val="24"/>
          <w:highlight w:val="none"/>
          <w:shd w:val="clear" w:color="auto" w:fill="auto"/>
        </w:rPr>
        <w:t>无法评审时，</w:t>
      </w:r>
      <w:r>
        <w:rPr>
          <w:rFonts w:hint="eastAsia" w:ascii="宋体" w:hAnsi="宋体" w:eastAsia="宋体" w:cs="宋体"/>
          <w:color w:val="auto"/>
          <w:sz w:val="24"/>
          <w:szCs w:val="24"/>
          <w:highlight w:val="none"/>
          <w:shd w:val="clear" w:color="auto" w:fill="auto"/>
          <w:lang w:eastAsia="zh-CN"/>
        </w:rPr>
        <w:t>评审委员会</w:t>
      </w:r>
      <w:r>
        <w:rPr>
          <w:rFonts w:hint="eastAsia" w:ascii="宋体" w:hAnsi="宋体" w:eastAsia="宋体" w:cs="宋体"/>
          <w:color w:val="auto"/>
          <w:sz w:val="24"/>
          <w:szCs w:val="24"/>
          <w:highlight w:val="none"/>
          <w:shd w:val="clear" w:color="auto" w:fill="auto"/>
        </w:rPr>
        <w:t>报采购领导小组批准后有权停止本次评审，否决所有</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的报价，</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有权改用其它采购方式进行采购。</w:t>
      </w:r>
    </w:p>
    <w:p w14:paraId="40C454D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eastAsia="zh-CN"/>
        </w:rPr>
        <w:t>十一</w:t>
      </w:r>
      <w:r>
        <w:rPr>
          <w:rFonts w:hint="eastAsia" w:ascii="宋体" w:hAnsi="宋体" w:eastAsia="宋体" w:cs="宋体"/>
          <w:b/>
          <w:color w:val="auto"/>
          <w:sz w:val="24"/>
          <w:szCs w:val="24"/>
          <w:highlight w:val="none"/>
          <w:shd w:val="clear" w:color="auto" w:fill="auto"/>
        </w:rPr>
        <w:t xml:space="preserve">、授予合同 </w:t>
      </w:r>
    </w:p>
    <w:p w14:paraId="18FB299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成交通知书</w:t>
      </w:r>
    </w:p>
    <w:p w14:paraId="36C688E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成交人</w:t>
      </w:r>
      <w:r>
        <w:rPr>
          <w:rFonts w:hint="eastAsia" w:ascii="宋体" w:hAnsi="宋体" w:eastAsia="宋体" w:cs="宋体"/>
          <w:color w:val="auto"/>
          <w:sz w:val="24"/>
          <w:szCs w:val="24"/>
          <w:highlight w:val="none"/>
          <w:shd w:val="clear" w:color="auto" w:fill="auto"/>
        </w:rPr>
        <w:t>确定后，</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向</w:t>
      </w:r>
      <w:r>
        <w:rPr>
          <w:rFonts w:hint="eastAsia" w:ascii="宋体" w:hAnsi="宋体" w:eastAsia="宋体" w:cs="宋体"/>
          <w:color w:val="auto"/>
          <w:sz w:val="24"/>
          <w:szCs w:val="24"/>
          <w:highlight w:val="none"/>
          <w:shd w:val="clear" w:color="auto" w:fill="auto"/>
          <w:lang w:eastAsia="zh-CN"/>
        </w:rPr>
        <w:t>成交人</w:t>
      </w:r>
      <w:r>
        <w:rPr>
          <w:rFonts w:hint="eastAsia" w:ascii="宋体" w:hAnsi="宋体" w:eastAsia="宋体" w:cs="宋体"/>
          <w:color w:val="auto"/>
          <w:sz w:val="24"/>
          <w:szCs w:val="24"/>
          <w:highlight w:val="none"/>
          <w:shd w:val="clear" w:color="auto" w:fill="auto"/>
        </w:rPr>
        <w:t>发布</w:t>
      </w:r>
      <w:r>
        <w:rPr>
          <w:rFonts w:hint="eastAsia" w:ascii="宋体" w:hAnsi="宋体" w:eastAsia="宋体" w:cs="宋体"/>
          <w:color w:val="auto"/>
          <w:sz w:val="24"/>
          <w:szCs w:val="24"/>
          <w:highlight w:val="none"/>
          <w:shd w:val="clear" w:color="auto" w:fill="auto"/>
          <w:lang w:eastAsia="zh-CN"/>
        </w:rPr>
        <w:t>成交通知书</w:t>
      </w:r>
      <w:r>
        <w:rPr>
          <w:rFonts w:hint="eastAsia" w:ascii="宋体" w:hAnsi="宋体" w:eastAsia="宋体" w:cs="宋体"/>
          <w:color w:val="auto"/>
          <w:sz w:val="24"/>
          <w:szCs w:val="24"/>
          <w:highlight w:val="none"/>
          <w:shd w:val="clear" w:color="auto" w:fill="auto"/>
        </w:rPr>
        <w:t>，同时将中标结果通知所有未中标的</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w:t>
      </w:r>
    </w:p>
    <w:p w14:paraId="50EFFE5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应当自</w:t>
      </w:r>
      <w:r>
        <w:rPr>
          <w:rFonts w:hint="eastAsia" w:ascii="宋体" w:hAnsi="宋体" w:eastAsia="宋体" w:cs="宋体"/>
          <w:color w:val="auto"/>
          <w:sz w:val="24"/>
          <w:szCs w:val="24"/>
          <w:highlight w:val="none"/>
          <w:shd w:val="clear" w:color="auto" w:fill="auto"/>
          <w:lang w:eastAsia="zh-CN"/>
        </w:rPr>
        <w:t>中标单位</w:t>
      </w:r>
      <w:r>
        <w:rPr>
          <w:rFonts w:hint="eastAsia" w:ascii="宋体" w:hAnsi="宋体" w:eastAsia="宋体" w:cs="宋体"/>
          <w:color w:val="auto"/>
          <w:sz w:val="24"/>
          <w:szCs w:val="24"/>
          <w:highlight w:val="none"/>
          <w:shd w:val="clear" w:color="auto" w:fill="auto"/>
        </w:rPr>
        <w:t>确定之日起2个工作日内，</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将向</w:t>
      </w:r>
      <w:r>
        <w:rPr>
          <w:rFonts w:hint="eastAsia" w:ascii="宋体" w:hAnsi="宋体" w:eastAsia="宋体" w:cs="宋体"/>
          <w:color w:val="auto"/>
          <w:sz w:val="24"/>
          <w:szCs w:val="24"/>
          <w:highlight w:val="none"/>
          <w:shd w:val="clear" w:color="auto" w:fill="auto"/>
          <w:lang w:eastAsia="zh-CN"/>
        </w:rPr>
        <w:t>中标单位</w:t>
      </w:r>
      <w:r>
        <w:rPr>
          <w:rFonts w:hint="eastAsia" w:ascii="宋体" w:hAnsi="宋体" w:eastAsia="宋体" w:cs="宋体"/>
          <w:color w:val="auto"/>
          <w:sz w:val="24"/>
          <w:szCs w:val="24"/>
          <w:highlight w:val="none"/>
          <w:shd w:val="clear" w:color="auto" w:fill="auto"/>
        </w:rPr>
        <w:t>签发《</w:t>
      </w:r>
      <w:r>
        <w:rPr>
          <w:rFonts w:hint="eastAsia" w:ascii="宋体" w:hAnsi="宋体" w:eastAsia="宋体" w:cs="宋体"/>
          <w:color w:val="auto"/>
          <w:sz w:val="24"/>
          <w:szCs w:val="24"/>
          <w:highlight w:val="none"/>
          <w:shd w:val="clear" w:color="auto" w:fill="auto"/>
          <w:lang w:eastAsia="zh-CN"/>
        </w:rPr>
        <w:t>成交通知书</w:t>
      </w:r>
      <w:r>
        <w:rPr>
          <w:rFonts w:hint="eastAsia" w:ascii="宋体" w:hAnsi="宋体" w:eastAsia="宋体" w:cs="宋体"/>
          <w:color w:val="auto"/>
          <w:sz w:val="24"/>
          <w:szCs w:val="24"/>
          <w:highlight w:val="none"/>
          <w:shd w:val="clear" w:color="auto" w:fill="auto"/>
        </w:rPr>
        <w:t>》，并在</w:t>
      </w:r>
      <w:r>
        <w:rPr>
          <w:rFonts w:hint="eastAsia" w:ascii="宋体" w:hAnsi="宋体" w:eastAsia="宋体" w:cs="宋体"/>
          <w:color w:val="auto"/>
          <w:sz w:val="24"/>
          <w:szCs w:val="24"/>
          <w:highlight w:val="none"/>
          <w:shd w:val="clear" w:color="auto" w:fill="auto"/>
          <w:lang w:eastAsia="zh-CN"/>
        </w:rPr>
        <w:t>发布公告</w:t>
      </w:r>
      <w:r>
        <w:rPr>
          <w:rFonts w:hint="eastAsia" w:ascii="宋体" w:hAnsi="宋体" w:eastAsia="宋体" w:cs="宋体"/>
          <w:color w:val="auto"/>
          <w:sz w:val="24"/>
          <w:szCs w:val="24"/>
          <w:highlight w:val="none"/>
          <w:shd w:val="clear" w:color="auto" w:fill="auto"/>
        </w:rPr>
        <w:t>媒体上同时进行公告。</w:t>
      </w:r>
    </w:p>
    <w:p w14:paraId="60E0EF6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eastAsia="zh-CN"/>
        </w:rPr>
        <w:t>成交通知书</w:t>
      </w:r>
      <w:r>
        <w:rPr>
          <w:rFonts w:hint="eastAsia" w:ascii="宋体" w:hAnsi="宋体" w:eastAsia="宋体" w:cs="宋体"/>
          <w:color w:val="auto"/>
          <w:sz w:val="24"/>
          <w:szCs w:val="24"/>
          <w:highlight w:val="none"/>
          <w:shd w:val="clear" w:color="auto" w:fill="auto"/>
        </w:rPr>
        <w:t>》将作为签订采购合同的重要依据，对</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和</w:t>
      </w:r>
      <w:r>
        <w:rPr>
          <w:rFonts w:hint="eastAsia" w:ascii="宋体" w:hAnsi="宋体" w:eastAsia="宋体" w:cs="宋体"/>
          <w:color w:val="auto"/>
          <w:sz w:val="24"/>
          <w:szCs w:val="24"/>
          <w:highlight w:val="none"/>
          <w:shd w:val="clear" w:color="auto" w:fill="auto"/>
          <w:lang w:eastAsia="zh-CN"/>
        </w:rPr>
        <w:t>成交人</w:t>
      </w:r>
      <w:r>
        <w:rPr>
          <w:rFonts w:hint="eastAsia" w:ascii="宋体" w:hAnsi="宋体" w:eastAsia="宋体" w:cs="宋体"/>
          <w:color w:val="auto"/>
          <w:sz w:val="24"/>
          <w:szCs w:val="24"/>
          <w:highlight w:val="none"/>
          <w:shd w:val="clear" w:color="auto" w:fill="auto"/>
        </w:rPr>
        <w:t>具有法律效力。</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改变中标结果或者</w:t>
      </w:r>
      <w:r>
        <w:rPr>
          <w:rFonts w:hint="eastAsia" w:ascii="宋体" w:hAnsi="宋体" w:eastAsia="宋体" w:cs="宋体"/>
          <w:color w:val="auto"/>
          <w:sz w:val="24"/>
          <w:szCs w:val="24"/>
          <w:highlight w:val="none"/>
          <w:shd w:val="clear" w:color="auto" w:fill="auto"/>
          <w:lang w:eastAsia="zh-CN"/>
        </w:rPr>
        <w:t>成交人</w:t>
      </w:r>
      <w:r>
        <w:rPr>
          <w:rFonts w:hint="eastAsia" w:ascii="宋体" w:hAnsi="宋体" w:eastAsia="宋体" w:cs="宋体"/>
          <w:color w:val="auto"/>
          <w:sz w:val="24"/>
          <w:szCs w:val="24"/>
          <w:highlight w:val="none"/>
          <w:shd w:val="clear" w:color="auto" w:fill="auto"/>
        </w:rPr>
        <w:t>放弃中标项目的都应承担法律责任。</w:t>
      </w:r>
      <w:r>
        <w:rPr>
          <w:rFonts w:hint="eastAsia" w:ascii="宋体" w:hAnsi="宋体" w:eastAsia="宋体" w:cs="宋体"/>
          <w:color w:val="auto"/>
          <w:sz w:val="24"/>
          <w:szCs w:val="24"/>
          <w:highlight w:val="none"/>
          <w:shd w:val="clear" w:color="auto" w:fill="auto"/>
          <w:lang w:eastAsia="zh-CN"/>
        </w:rPr>
        <w:t>成交人</w:t>
      </w:r>
      <w:r>
        <w:rPr>
          <w:rFonts w:hint="eastAsia" w:ascii="宋体" w:hAnsi="宋体" w:eastAsia="宋体" w:cs="宋体"/>
          <w:color w:val="auto"/>
          <w:sz w:val="24"/>
          <w:szCs w:val="24"/>
          <w:highlight w:val="none"/>
          <w:shd w:val="clear" w:color="auto" w:fill="auto"/>
        </w:rPr>
        <w:t>不得向他人转让中标项目，也不得将中标项目肢解后分别向他人转让，违者将取消中标资格。</w:t>
      </w:r>
    </w:p>
    <w:p w14:paraId="4B213D1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2、签订合同</w:t>
      </w:r>
    </w:p>
    <w:p w14:paraId="697DEF8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成交通知书</w:t>
      </w:r>
      <w:r>
        <w:rPr>
          <w:rFonts w:hint="eastAsia" w:ascii="宋体" w:hAnsi="宋体" w:eastAsia="宋体" w:cs="宋体"/>
          <w:color w:val="auto"/>
          <w:sz w:val="24"/>
          <w:szCs w:val="24"/>
          <w:highlight w:val="none"/>
          <w:shd w:val="clear" w:color="auto" w:fill="auto"/>
        </w:rPr>
        <w:t>发出之日起</w:t>
      </w:r>
      <w:r>
        <w:rPr>
          <w:rFonts w:hint="eastAsia" w:ascii="宋体" w:hAnsi="宋体" w:eastAsia="宋体" w:cs="宋体"/>
          <w:color w:val="auto"/>
          <w:sz w:val="24"/>
          <w:szCs w:val="24"/>
          <w:highlight w:val="none"/>
          <w:shd w:val="clear" w:color="auto" w:fill="auto"/>
          <w:lang w:eastAsia="zh-CN"/>
        </w:rPr>
        <w:t>十个工作日</w:t>
      </w:r>
      <w:r>
        <w:rPr>
          <w:rFonts w:hint="eastAsia" w:ascii="宋体" w:hAnsi="宋体" w:eastAsia="宋体" w:cs="宋体"/>
          <w:color w:val="auto"/>
          <w:sz w:val="24"/>
          <w:szCs w:val="24"/>
          <w:highlight w:val="none"/>
          <w:shd w:val="clear" w:color="auto" w:fill="auto"/>
        </w:rPr>
        <w:t>内，由</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协助</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与</w:t>
      </w:r>
      <w:r>
        <w:rPr>
          <w:rFonts w:hint="eastAsia" w:ascii="宋体" w:hAnsi="宋体" w:eastAsia="宋体" w:cs="宋体"/>
          <w:color w:val="auto"/>
          <w:sz w:val="24"/>
          <w:szCs w:val="24"/>
          <w:highlight w:val="none"/>
          <w:shd w:val="clear" w:color="auto" w:fill="auto"/>
          <w:lang w:eastAsia="zh-CN"/>
        </w:rPr>
        <w:t>成交人</w:t>
      </w:r>
      <w:r>
        <w:rPr>
          <w:rFonts w:hint="eastAsia" w:ascii="宋体" w:hAnsi="宋体" w:eastAsia="宋体" w:cs="宋体"/>
          <w:color w:val="auto"/>
          <w:sz w:val="24"/>
          <w:szCs w:val="24"/>
          <w:highlight w:val="none"/>
          <w:shd w:val="clear" w:color="auto" w:fill="auto"/>
        </w:rPr>
        <w:t>在规定的工作日之内签订合同，合同的内容不得超出</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和</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的实质性内容。</w:t>
      </w:r>
    </w:p>
    <w:p w14:paraId="5A7DA41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成交人</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以及评审过程中的报价、有关澄清、承诺文件均为合同的组成部分。</w:t>
      </w:r>
    </w:p>
    <w:p w14:paraId="4DE368E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eastAsia="zh-CN"/>
        </w:rPr>
        <w:t>成交人</w:t>
      </w:r>
      <w:r>
        <w:rPr>
          <w:rFonts w:hint="eastAsia" w:ascii="宋体" w:hAnsi="宋体" w:eastAsia="宋体" w:cs="宋体"/>
          <w:color w:val="auto"/>
          <w:sz w:val="24"/>
          <w:szCs w:val="24"/>
          <w:highlight w:val="none"/>
          <w:shd w:val="clear" w:color="auto" w:fill="auto"/>
        </w:rPr>
        <w:t>如未于规定的时间内签订中标合同，</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有权撤销其中标资格。在这种情况下，</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经监督机构核实同意后可另选</w:t>
      </w:r>
      <w:r>
        <w:rPr>
          <w:rFonts w:hint="eastAsia" w:ascii="宋体" w:hAnsi="宋体" w:eastAsia="宋体" w:cs="宋体"/>
          <w:color w:val="auto"/>
          <w:sz w:val="24"/>
          <w:szCs w:val="24"/>
          <w:highlight w:val="none"/>
          <w:shd w:val="clear" w:color="auto" w:fill="auto"/>
          <w:lang w:eastAsia="zh-CN"/>
        </w:rPr>
        <w:t>成交人</w:t>
      </w:r>
      <w:r>
        <w:rPr>
          <w:rFonts w:hint="eastAsia" w:ascii="宋体" w:hAnsi="宋体" w:eastAsia="宋体" w:cs="宋体"/>
          <w:color w:val="auto"/>
          <w:sz w:val="24"/>
          <w:szCs w:val="24"/>
          <w:highlight w:val="none"/>
          <w:shd w:val="clear" w:color="auto" w:fill="auto"/>
        </w:rPr>
        <w:t>或另行招标。</w:t>
      </w:r>
    </w:p>
    <w:p w14:paraId="1F9E5C2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（4）如</w:t>
      </w:r>
      <w:r>
        <w:rPr>
          <w:rFonts w:hint="eastAsia" w:ascii="宋体" w:hAnsi="宋体" w:eastAsia="宋体" w:cs="宋体"/>
          <w:color w:val="auto"/>
          <w:sz w:val="24"/>
          <w:szCs w:val="24"/>
          <w:highlight w:val="none"/>
          <w:shd w:val="clear" w:color="auto" w:fill="auto"/>
          <w:lang w:eastAsia="zh-CN"/>
        </w:rPr>
        <w:t>服务</w:t>
      </w:r>
      <w:r>
        <w:rPr>
          <w:rFonts w:hint="eastAsia" w:ascii="宋体" w:hAnsi="宋体" w:eastAsia="宋体" w:cs="宋体"/>
          <w:color w:val="auto"/>
          <w:sz w:val="24"/>
          <w:szCs w:val="24"/>
          <w:highlight w:val="none"/>
          <w:shd w:val="clear" w:color="auto" w:fill="auto"/>
        </w:rPr>
        <w:t>质量不能达到</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要求，</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有权终止合同，一切损失由</w:t>
      </w:r>
      <w:r>
        <w:rPr>
          <w:rFonts w:hint="eastAsia" w:ascii="宋体" w:hAnsi="宋体" w:eastAsia="宋体" w:cs="宋体"/>
          <w:color w:val="auto"/>
          <w:sz w:val="24"/>
          <w:szCs w:val="24"/>
          <w:highlight w:val="none"/>
          <w:shd w:val="clear" w:color="auto" w:fill="auto"/>
          <w:lang w:eastAsia="zh-CN"/>
        </w:rPr>
        <w:t>成交人</w:t>
      </w:r>
      <w:r>
        <w:rPr>
          <w:rFonts w:hint="eastAsia" w:ascii="宋体" w:hAnsi="宋体" w:eastAsia="宋体" w:cs="宋体"/>
          <w:color w:val="auto"/>
          <w:sz w:val="24"/>
          <w:szCs w:val="24"/>
          <w:highlight w:val="none"/>
          <w:shd w:val="clear" w:color="auto" w:fill="auto"/>
        </w:rPr>
        <w:t>承担。</w:t>
      </w:r>
    </w:p>
    <w:p w14:paraId="13F777B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十</w:t>
      </w:r>
      <w:r>
        <w:rPr>
          <w:rFonts w:hint="eastAsia" w:ascii="宋体" w:hAnsi="宋体" w:eastAsia="宋体" w:cs="宋体"/>
          <w:b/>
          <w:color w:val="auto"/>
          <w:sz w:val="24"/>
          <w:szCs w:val="24"/>
          <w:highlight w:val="none"/>
          <w:shd w:val="clear" w:color="auto" w:fill="auto"/>
          <w:lang w:eastAsia="zh-CN"/>
        </w:rPr>
        <w:t>二</w:t>
      </w:r>
      <w:r>
        <w:rPr>
          <w:rFonts w:hint="eastAsia" w:ascii="宋体" w:hAnsi="宋体" w:eastAsia="宋体" w:cs="宋体"/>
          <w:b/>
          <w:color w:val="auto"/>
          <w:sz w:val="24"/>
          <w:szCs w:val="24"/>
          <w:highlight w:val="none"/>
          <w:shd w:val="clear" w:color="auto" w:fill="auto"/>
        </w:rPr>
        <w:t>、解释权</w:t>
      </w:r>
    </w:p>
    <w:p w14:paraId="78D1F4B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的最终解释权归</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，当对一个问题有多种解释时以</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的书面解释为准。</w:t>
      </w:r>
      <w:r>
        <w:rPr>
          <w:rFonts w:hint="eastAsia" w:ascii="宋体" w:hAnsi="宋体" w:eastAsia="宋体" w:cs="宋体"/>
          <w:color w:val="auto"/>
          <w:sz w:val="24"/>
          <w:szCs w:val="24"/>
          <w:highlight w:val="none"/>
          <w:shd w:val="clear" w:color="auto" w:fill="auto"/>
          <w:lang w:eastAsia="zh-CN"/>
        </w:rPr>
        <w:t>采购文件</w:t>
      </w:r>
      <w:r>
        <w:rPr>
          <w:rFonts w:hint="eastAsia" w:ascii="宋体" w:hAnsi="宋体" w:eastAsia="宋体" w:cs="宋体"/>
          <w:color w:val="auto"/>
          <w:sz w:val="24"/>
          <w:szCs w:val="24"/>
          <w:highlight w:val="none"/>
          <w:shd w:val="clear" w:color="auto" w:fill="auto"/>
        </w:rPr>
        <w:t>未做须知明示，而又有相关法律、法规规定的，</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 xml:space="preserve">对此所做解释以相关的法律、法规规定为依据。 </w:t>
      </w:r>
    </w:p>
    <w:p w14:paraId="4D790CA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十</w:t>
      </w:r>
      <w:r>
        <w:rPr>
          <w:rFonts w:hint="eastAsia" w:ascii="宋体" w:hAnsi="宋体" w:eastAsia="宋体" w:cs="宋体"/>
          <w:b/>
          <w:color w:val="auto"/>
          <w:sz w:val="24"/>
          <w:szCs w:val="24"/>
          <w:highlight w:val="none"/>
          <w:shd w:val="clear" w:color="auto" w:fill="auto"/>
          <w:lang w:eastAsia="zh-CN"/>
        </w:rPr>
        <w:t>三</w:t>
      </w:r>
      <w:r>
        <w:rPr>
          <w:rFonts w:hint="eastAsia" w:ascii="宋体" w:hAnsi="宋体" w:eastAsia="宋体" w:cs="宋体"/>
          <w:b/>
          <w:color w:val="auto"/>
          <w:sz w:val="24"/>
          <w:szCs w:val="24"/>
          <w:highlight w:val="none"/>
          <w:shd w:val="clear" w:color="auto" w:fill="auto"/>
        </w:rPr>
        <w:t>、质疑</w:t>
      </w:r>
    </w:p>
    <w:p w14:paraId="6994264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按照《中华人民共和国政府采购法》、《中华人民共和国政府采购法实施条例》、《政府采购质疑和投诉办法》等有关规定，参加本次政府采购活动的</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认为</w:t>
      </w:r>
      <w:r>
        <w:rPr>
          <w:rFonts w:hint="eastAsia" w:ascii="宋体" w:hAnsi="宋体" w:eastAsia="宋体" w:cs="宋体"/>
          <w:color w:val="auto"/>
          <w:sz w:val="24"/>
          <w:szCs w:val="24"/>
          <w:highlight w:val="none"/>
          <w:shd w:val="clear" w:color="auto" w:fill="auto"/>
          <w:lang w:eastAsia="zh-CN"/>
        </w:rPr>
        <w:t>竞争性磋商文件</w:t>
      </w:r>
      <w:r>
        <w:rPr>
          <w:rFonts w:hint="eastAsia" w:ascii="宋体" w:hAnsi="宋体" w:eastAsia="宋体" w:cs="宋体"/>
          <w:color w:val="auto"/>
          <w:sz w:val="24"/>
          <w:szCs w:val="24"/>
          <w:highlight w:val="none"/>
          <w:shd w:val="clear" w:color="auto" w:fill="auto"/>
        </w:rPr>
        <w:t>、采购过程和</w:t>
      </w:r>
      <w:r>
        <w:rPr>
          <w:rFonts w:hint="eastAsia" w:ascii="宋体" w:hAnsi="宋体" w:eastAsia="宋体" w:cs="宋体"/>
          <w:color w:val="auto"/>
          <w:sz w:val="24"/>
          <w:szCs w:val="24"/>
          <w:highlight w:val="none"/>
          <w:shd w:val="clear" w:color="auto" w:fill="auto"/>
          <w:lang w:eastAsia="zh-CN"/>
        </w:rPr>
        <w:t>中标</w:t>
      </w:r>
      <w:r>
        <w:rPr>
          <w:rFonts w:hint="eastAsia" w:ascii="宋体" w:hAnsi="宋体" w:eastAsia="宋体" w:cs="宋体"/>
          <w:color w:val="auto"/>
          <w:sz w:val="24"/>
          <w:szCs w:val="24"/>
          <w:highlight w:val="none"/>
          <w:shd w:val="clear" w:color="auto" w:fill="auto"/>
        </w:rPr>
        <w:t>结果使自己的权益受到损害的，可以在知道或者应知道其权益受到损害之日起七个工作日内，以书面形式向</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或者</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提出质疑。</w:t>
      </w:r>
    </w:p>
    <w:p w14:paraId="5B6989A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提出质疑应当提交质疑函和必要的证明材料。质疑函应当包括下列内容：</w:t>
      </w:r>
    </w:p>
    <w:p w14:paraId="69D6A9D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的姓名或者名称、地址、邮编、联系人及联系电话；</w:t>
      </w:r>
    </w:p>
    <w:p w14:paraId="70CCD75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（2）质疑项目的名称、编号；</w:t>
      </w:r>
    </w:p>
    <w:p w14:paraId="3F6C7D7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（3）具体、明确的质疑事项和与质疑事项相关的请求；</w:t>
      </w:r>
    </w:p>
    <w:p w14:paraId="30ABBDF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（4）事实依据；</w:t>
      </w:r>
    </w:p>
    <w:p w14:paraId="35DF51B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（5）必要的法律依据；</w:t>
      </w:r>
    </w:p>
    <w:p w14:paraId="1D3EE9C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（6）提出质疑的日期。</w:t>
      </w:r>
    </w:p>
    <w:p w14:paraId="3CB8224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为自然人的，应当由本人签字；</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为法人或者其他组织的，应当由法定代表人、主要负责人，或者其授权代表签字，并加盖公章。</w:t>
      </w:r>
    </w:p>
    <w:p w14:paraId="1C3E318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代理人办理质疑事项时，还应当提交授权委托书，授权委托书应当载明代理的具体权限和事项，否则</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或者</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不予受理。</w:t>
      </w:r>
    </w:p>
    <w:p w14:paraId="108CA45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质疑函范本下载地址：http：//www.ccgp.gov.cn/</w:t>
      </w:r>
    </w:p>
    <w:p w14:paraId="590F1E7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接收质疑函的方式：书面形式。其他任何方式的质疑，</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或者</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均不予接受和回复。</w:t>
      </w:r>
    </w:p>
    <w:p w14:paraId="65BD51B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联系部门：</w:t>
      </w:r>
      <w:r>
        <w:rPr>
          <w:rFonts w:hint="eastAsia" w:ascii="宋体" w:hAnsi="宋体" w:eastAsia="宋体" w:cs="宋体"/>
          <w:color w:val="auto"/>
          <w:sz w:val="24"/>
          <w:szCs w:val="24"/>
          <w:highlight w:val="none"/>
          <w:shd w:val="clear" w:color="auto" w:fill="auto"/>
          <w:lang w:eastAsia="zh-CN"/>
        </w:rPr>
        <w:t>疆海工程项目管理有限公司</w:t>
      </w:r>
    </w:p>
    <w:p w14:paraId="3CE370C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联系电话：</w:t>
      </w:r>
      <w:r>
        <w:rPr>
          <w:rFonts w:hint="eastAsia" w:ascii="宋体" w:hAnsi="宋体" w:eastAsia="宋体" w:cs="宋体"/>
          <w:color w:val="auto"/>
          <w:sz w:val="24"/>
          <w:szCs w:val="24"/>
          <w:highlight w:val="none"/>
          <w:shd w:val="clear" w:color="auto" w:fill="auto"/>
          <w:lang w:eastAsia="zh-CN"/>
        </w:rPr>
        <w:t>18866573602</w:t>
      </w:r>
    </w:p>
    <w:p w14:paraId="2FE9842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通讯地址：</w:t>
      </w:r>
      <w:r>
        <w:rPr>
          <w:rFonts w:hint="eastAsia" w:ascii="宋体" w:hAnsi="宋体" w:eastAsia="宋体" w:cs="宋体"/>
          <w:color w:val="auto"/>
          <w:sz w:val="24"/>
          <w:szCs w:val="24"/>
          <w:highlight w:val="none"/>
          <w:shd w:val="clear" w:color="auto" w:fill="auto"/>
          <w:lang w:eastAsia="zh-CN"/>
        </w:rPr>
        <w:t>聊城市开发区星美大厦1栋13楼1324室</w:t>
      </w:r>
    </w:p>
    <w:p w14:paraId="52CA5A6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在法定质疑期内必须一次性提出针对同一采购程序环节的所有质疑，重复质疑或多次质疑</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或者</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不予受理。</w:t>
      </w:r>
    </w:p>
    <w:p w14:paraId="79E83BA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或者</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在收到质疑书后七个工作日内作出书面答复，并以书面形式通知质疑人和其他有关当事人，但答复不得涉及商业秘密。</w:t>
      </w:r>
    </w:p>
    <w:p w14:paraId="60619EA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szCs w:val="24"/>
          <w:highlight w:val="none"/>
          <w:shd w:val="clear" w:color="auto" w:fill="auto"/>
        </w:rPr>
        <w:t>4、质疑人对</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的答复不满意或者</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未在规定的时间内作出答复的，可以在答复期满后十五个工作日内向同级财政部门投诉。</w:t>
      </w:r>
    </w:p>
    <w:p w14:paraId="33F13D97">
      <w:pPr>
        <w:rPr>
          <w:rFonts w:hint="eastAsia" w:ascii="宋体" w:hAnsi="宋体" w:eastAsia="宋体" w:cs="宋体"/>
          <w:color w:val="auto"/>
          <w:sz w:val="32"/>
          <w:szCs w:val="32"/>
          <w:highlight w:val="none"/>
          <w:shd w:val="clear" w:color="auto" w:fill="auto"/>
          <w:lang w:val="en-US" w:eastAsia="zh-CN"/>
        </w:rPr>
      </w:pPr>
      <w:r>
        <w:rPr>
          <w:rFonts w:hint="eastAsia" w:ascii="宋体" w:hAnsi="宋体" w:eastAsia="宋体" w:cs="宋体"/>
          <w:color w:val="auto"/>
          <w:sz w:val="32"/>
          <w:szCs w:val="32"/>
          <w:highlight w:val="none"/>
          <w:shd w:val="clear" w:color="auto" w:fill="auto"/>
          <w:lang w:val="en-US" w:eastAsia="zh-CN"/>
        </w:rPr>
        <w:br w:type="page"/>
      </w:r>
    </w:p>
    <w:p w14:paraId="71EF3A5C">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32"/>
          <w:szCs w:val="32"/>
          <w:highlight w:val="none"/>
          <w:shd w:val="clear" w:color="auto" w:fill="auto"/>
          <w:lang w:val="en-US" w:eastAsia="zh-CN"/>
        </w:rPr>
      </w:pPr>
      <w:bookmarkStart w:id="6" w:name="_Toc29341"/>
      <w:bookmarkStart w:id="7" w:name="_Toc4503"/>
      <w:bookmarkStart w:id="8" w:name="_Toc25829"/>
      <w:r>
        <w:rPr>
          <w:rFonts w:hint="eastAsia" w:ascii="宋体" w:hAnsi="宋体" w:eastAsia="宋体" w:cs="宋体"/>
          <w:color w:val="auto"/>
          <w:sz w:val="32"/>
          <w:szCs w:val="32"/>
          <w:highlight w:val="none"/>
          <w:shd w:val="clear" w:color="auto" w:fill="auto"/>
          <w:lang w:val="en-US" w:eastAsia="zh-CN"/>
        </w:rPr>
        <w:t xml:space="preserve">第三部分 </w:t>
      </w:r>
      <w:bookmarkEnd w:id="6"/>
      <w:r>
        <w:rPr>
          <w:rFonts w:hint="eastAsia" w:ascii="宋体" w:hAnsi="宋体" w:eastAsia="宋体" w:cs="宋体"/>
          <w:color w:val="auto"/>
          <w:sz w:val="32"/>
          <w:szCs w:val="32"/>
          <w:highlight w:val="none"/>
          <w:shd w:val="clear" w:color="auto" w:fill="auto"/>
          <w:lang w:val="en-US" w:eastAsia="zh-CN"/>
        </w:rPr>
        <w:t>项目说明</w:t>
      </w:r>
      <w:bookmarkEnd w:id="7"/>
    </w:p>
    <w:p w14:paraId="07B12F91">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auto"/>
          <w:sz w:val="24"/>
          <w:szCs w:val="24"/>
          <w:highlight w:val="none"/>
          <w:lang w:val="en-US"/>
        </w:rPr>
      </w:pPr>
      <w:r>
        <w:rPr>
          <w:rFonts w:hint="default" w:ascii="宋体" w:hAnsi="宋体" w:eastAsia="宋体" w:cs="宋体"/>
          <w:b/>
          <w:bCs/>
          <w:color w:val="auto"/>
          <w:sz w:val="24"/>
          <w:szCs w:val="24"/>
          <w:highlight w:val="none"/>
          <w:lang w:val="en-US"/>
        </w:rPr>
        <w:t>一、项目名称：</w:t>
      </w:r>
    </w:p>
    <w:p w14:paraId="3934C1D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聊城市退役军人医院优抚病房楼监控采购安装项目</w:t>
      </w:r>
    </w:p>
    <w:p w14:paraId="1E927F59">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auto"/>
          <w:sz w:val="24"/>
          <w:szCs w:val="24"/>
          <w:highlight w:val="none"/>
          <w:lang w:val="en-US"/>
        </w:rPr>
      </w:pPr>
      <w:r>
        <w:rPr>
          <w:rFonts w:hint="default" w:ascii="宋体" w:hAnsi="宋体" w:eastAsia="宋体" w:cs="宋体"/>
          <w:b/>
          <w:bCs/>
          <w:color w:val="auto"/>
          <w:sz w:val="24"/>
          <w:szCs w:val="24"/>
          <w:highlight w:val="none"/>
          <w:lang w:val="en-US"/>
        </w:rPr>
        <w:t>二、质量要求：</w:t>
      </w:r>
    </w:p>
    <w:p w14:paraId="21BF4B3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1、工程质量必须符合国家标准，工程以施工质量和施工安全为宗旨</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rPr>
        <w:t>成交供应商需加强施工现场的管理和施工监督</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rPr>
        <w:t>严格执行施工规范。如因成交供应商在施工过程中或竣工后发生质量和安全问题，成交供应商承担全部责任，并赔偿对院方造成的损失。</w:t>
      </w:r>
    </w:p>
    <w:p w14:paraId="5B39DA6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2、成交供应商需提供详细的进度计划，确保施工按期完成，优化资源配置，科学组织施工，加强施工现场管理，合理安排进度。做到质量保证体系健全，质量保证措施到位，各类资料和数据准确、完善、齐全。</w:t>
      </w:r>
    </w:p>
    <w:p w14:paraId="3456564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3、成交供应商应做好施工现场环境保护及防风降尘工作，整个施工过程需按照环保要求进行施工，做到文明环保施工、文明生产。</w:t>
      </w:r>
    </w:p>
    <w:p w14:paraId="4AC56E9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4、涉及隐蔽工程，在工程隐蔽前，成交供应商应当通知院方到场验收。每道隐蔽工程必须有隐蔽工程水印照片（水印内容包含项目名称、时间、系统名称、部位、隐蔽施工人），隐蔽工程未通过验收，未经院方同意，擅自进行下道工序施工，成交供应商自行承担全部损失。</w:t>
      </w:r>
    </w:p>
    <w:p w14:paraId="78F88AF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5、成交供应商需提供完善质量保证方案和成品保护方案，施工过程中如因成交供应商原因导致成品损坏，由成交供应商自行承担全部损失。成交供应商有质量自检机制，对施工质量进行自查，并出具自查报告。</w:t>
      </w:r>
    </w:p>
    <w:p w14:paraId="405681C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6、成交供应商需做提供完善防火、防电预案，施工现场严禁抽烟，严禁私接电缆。</w:t>
      </w:r>
    </w:p>
    <w:p w14:paraId="32C3717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7、成交供应商应结合项目情况，充分考虑现场可能发生的突发情况，制定详细可行的应急方案及保障措施。</w:t>
      </w:r>
    </w:p>
    <w:p w14:paraId="58F34ED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8、施工中布线确保强电和弱电线缆物理分开，不得共用桥架和线槽。</w:t>
      </w:r>
    </w:p>
    <w:p w14:paraId="2A391AC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9、成交供应商项目团队需建立日报、周报机制，施工期间每日发送施工日志及重要部位的工程水印照片，每周发送汇总周报，确保相关干系人及时、准确了解工程进展。</w:t>
      </w:r>
    </w:p>
    <w:p w14:paraId="7FA28E5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10、成交供应商施工所用的材料、设备、施工工艺和工程质量的检验和验收应符合国家和行业颁布的最新技术标准和规程规定的技术要求。相应材料、设备到货后需联系院方方进行到货验收，到货验收通过后材料和设备方可安装，到货时提供相应产品检测报告或合格证。</w:t>
      </w:r>
    </w:p>
    <w:p w14:paraId="77ECB05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11、</w:t>
      </w:r>
      <w:r>
        <w:rPr>
          <w:rFonts w:hint="eastAsia" w:ascii="宋体" w:hAnsi="宋体" w:eastAsia="宋体" w:cs="宋体"/>
          <w:color w:val="auto"/>
          <w:sz w:val="24"/>
          <w:szCs w:val="24"/>
          <w:highlight w:val="none"/>
          <w:lang w:val="en-US" w:eastAsia="zh-CN"/>
        </w:rPr>
        <w:t>项目</w:t>
      </w:r>
      <w:r>
        <w:rPr>
          <w:rFonts w:hint="default" w:ascii="宋体" w:hAnsi="宋体" w:eastAsia="宋体" w:cs="宋体"/>
          <w:color w:val="auto"/>
          <w:sz w:val="24"/>
          <w:szCs w:val="24"/>
          <w:highlight w:val="none"/>
          <w:lang w:val="en-US"/>
        </w:rPr>
        <w:t>完毕后，需保证机柜内部、弱电箱等内部线缆整齐有序，标签清晰，主干光缆必须有维护铭牌。设备安装规范、接地良好。</w:t>
      </w:r>
    </w:p>
    <w:p w14:paraId="35B53CA0">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default" w:ascii="宋体" w:hAnsi="宋体" w:eastAsia="宋体" w:cs="宋体"/>
          <w:b/>
          <w:bCs/>
          <w:color w:val="auto"/>
          <w:sz w:val="24"/>
          <w:szCs w:val="24"/>
          <w:highlight w:val="none"/>
          <w:lang w:val="en-US"/>
        </w:rPr>
        <w:t>、售后服务</w:t>
      </w:r>
      <w:r>
        <w:rPr>
          <w:rFonts w:hint="eastAsia" w:ascii="宋体" w:hAnsi="宋体" w:eastAsia="宋体" w:cs="宋体"/>
          <w:b/>
          <w:bCs/>
          <w:color w:val="auto"/>
          <w:sz w:val="24"/>
          <w:szCs w:val="24"/>
          <w:highlight w:val="none"/>
          <w:lang w:val="en-US" w:eastAsia="zh-CN"/>
        </w:rPr>
        <w:t>：</w:t>
      </w:r>
    </w:p>
    <w:p w14:paraId="25DCF03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1、维修响应时间</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rPr>
        <w:t>若设备出现故障，供应商接到保修请求，维修应在0.5小时内响应，4小时排除故障，必要时应向采购人提供应急备用设备。提供制造商初始安装和电话热线7*24保修服务。</w:t>
      </w:r>
    </w:p>
    <w:p w14:paraId="08EA01B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2、成交供应商应派专业技术人员到现场进行免费安装、调试，直至验收合格；成交供应商负责对采购人进行免费专业培训及维护常识培训，直至采购人完全掌握。</w:t>
      </w:r>
    </w:p>
    <w:p w14:paraId="5CC4CAA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3、根据投标货物特点及技术要求，供应商应对采购人的技术、管理人员进行有关设备使用操作、设备维修、故障排除、保养、等方面进行现场技术培训，直至使受训人员能熟练独立操作。供应商应根据上述要求在报价文件中提供详细的培训计划和培训内容。培训讲义教材、培训教员等均由供应商负责提供。技术培训所涉及的一切费用（包括供应商委派的专业技术人员费用）均由供应商承担且应包含在本次报价总金额中。</w:t>
      </w:r>
    </w:p>
    <w:p w14:paraId="7C77C77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4、质保期</w:t>
      </w:r>
      <w:r>
        <w:rPr>
          <w:rFonts w:hint="eastAsia" w:ascii="宋体" w:hAnsi="宋体" w:eastAsia="宋体" w:cs="宋体"/>
          <w:color w:val="auto"/>
          <w:sz w:val="24"/>
          <w:szCs w:val="24"/>
          <w:highlight w:val="none"/>
          <w:lang w:val="en-US" w:eastAsia="zh-CN"/>
        </w:rPr>
        <w:t>3年，</w:t>
      </w:r>
      <w:r>
        <w:rPr>
          <w:rFonts w:hint="default" w:ascii="宋体" w:hAnsi="宋体" w:eastAsia="宋体" w:cs="宋体"/>
          <w:color w:val="auto"/>
          <w:sz w:val="24"/>
          <w:szCs w:val="24"/>
          <w:highlight w:val="none"/>
          <w:lang w:val="en-US"/>
        </w:rPr>
        <w:t>自验收合格、投入正常使用后开始计算，质保期内免费维修、更换零部件；软件终身免费升级。在质保期内，以上所有货物在使用过程中出现的非人为原因损坏，成交供应商须免费提供上门维修和更换服务，成交供应商须向最终用户提供使用技术指导、保证所有最终用户能熟练掌握货物的正常使用。国家主管部门对货物本身有更高要求的，从其规定执行。在设备保修期内如设备损坏时，成交供应商应迅速派员及时解决，同时成交供应商承担设备配件及人员的所有费用，由于成交供应商原因时拖延而造成采购人生产损失由成交供应商赔偿。</w:t>
      </w:r>
    </w:p>
    <w:p w14:paraId="6D4C77A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5、在质保期内供应商应无偿为采购人提供维修服务，配件全部免费；质保期满后，系统继续免费提供平台升级及维护服务。定期对货物进行维护，维修只收取配件费。</w:t>
      </w:r>
    </w:p>
    <w:p w14:paraId="2DC79DC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6、过程中如果采购人发现所供设备的任何漏项和缺项，即使未在供货范围中列出但依据合理判断确实是成交供应商供货范围内应该包括的内容，成交供应商应按照买方的要求在规定的时间内将短缺的或遗漏的设备、装置、技术资料、专用工具、备品备件等无偿交付采购人。</w:t>
      </w:r>
    </w:p>
    <w:p w14:paraId="1417E4AC">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四</w:t>
      </w:r>
      <w:r>
        <w:rPr>
          <w:rFonts w:hint="default" w:ascii="宋体" w:hAnsi="宋体" w:eastAsia="宋体" w:cs="宋体"/>
          <w:b/>
          <w:bCs/>
          <w:color w:val="auto"/>
          <w:sz w:val="24"/>
          <w:szCs w:val="24"/>
          <w:highlight w:val="none"/>
          <w:lang w:val="en-US"/>
        </w:rPr>
        <w:t>、</w:t>
      </w:r>
      <w:r>
        <w:rPr>
          <w:rFonts w:hint="eastAsia" w:ascii="宋体" w:hAnsi="宋体" w:eastAsia="宋体" w:cs="宋体"/>
          <w:b/>
          <w:bCs/>
          <w:color w:val="auto"/>
          <w:sz w:val="24"/>
          <w:szCs w:val="24"/>
          <w:highlight w:val="none"/>
          <w:lang w:val="en-US" w:eastAsia="zh-CN"/>
        </w:rPr>
        <w:t>采购清单及参数要求</w:t>
      </w:r>
      <w:r>
        <w:rPr>
          <w:rFonts w:hint="default" w:ascii="宋体" w:hAnsi="宋体" w:eastAsia="宋体" w:cs="宋体"/>
          <w:b/>
          <w:bCs/>
          <w:color w:val="auto"/>
          <w:sz w:val="24"/>
          <w:szCs w:val="24"/>
          <w:highlight w:val="none"/>
          <w:lang w:val="en-US"/>
        </w:rPr>
        <w:t>：</w:t>
      </w:r>
    </w:p>
    <w:tbl>
      <w:tblPr>
        <w:tblStyle w:val="2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06"/>
        <w:gridCol w:w="5693"/>
        <w:gridCol w:w="868"/>
        <w:gridCol w:w="868"/>
      </w:tblGrid>
      <w:tr w14:paraId="2BF2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0B35E096">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序号</w:t>
            </w:r>
          </w:p>
        </w:tc>
        <w:tc>
          <w:tcPr>
            <w:tcW w:w="1906" w:type="dxa"/>
            <w:vAlign w:val="center"/>
          </w:tcPr>
          <w:p w14:paraId="65F3F05E">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产品名称</w:t>
            </w:r>
          </w:p>
        </w:tc>
        <w:tc>
          <w:tcPr>
            <w:tcW w:w="5693" w:type="dxa"/>
            <w:vAlign w:val="center"/>
          </w:tcPr>
          <w:p w14:paraId="338D16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技术参数</w:t>
            </w:r>
          </w:p>
        </w:tc>
        <w:tc>
          <w:tcPr>
            <w:tcW w:w="868" w:type="dxa"/>
            <w:vAlign w:val="center"/>
          </w:tcPr>
          <w:p w14:paraId="3D64849E">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单位</w:t>
            </w:r>
          </w:p>
        </w:tc>
        <w:tc>
          <w:tcPr>
            <w:tcW w:w="868" w:type="dxa"/>
            <w:vAlign w:val="center"/>
          </w:tcPr>
          <w:p w14:paraId="69F6A3A9">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数量</w:t>
            </w:r>
          </w:p>
        </w:tc>
      </w:tr>
      <w:tr w14:paraId="3456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6A9A3B5D">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906" w:type="dxa"/>
            <w:vAlign w:val="center"/>
          </w:tcPr>
          <w:p w14:paraId="44C798E8">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400万白光全彩海螺摄像机</w:t>
            </w:r>
          </w:p>
        </w:tc>
        <w:tc>
          <w:tcPr>
            <w:tcW w:w="5693" w:type="dxa"/>
            <w:vAlign w:val="center"/>
          </w:tcPr>
          <w:p w14:paraId="603015BB">
            <w:pPr>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传感器类型：1/3英寸CMOS；</w:t>
            </w:r>
          </w:p>
          <w:p w14:paraId="23A541BF">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像素≥400万；</w:t>
            </w:r>
          </w:p>
          <w:p w14:paraId="089D32C1">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分辨率≥2688×1520；</w:t>
            </w:r>
          </w:p>
          <w:p w14:paraId="667D75DC">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不小于1000TVL（2560×1440，码率为1Mbps，帧率为25帧/s）。</w:t>
            </w:r>
          </w:p>
          <w:p w14:paraId="580B51B6">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最低照度：0.002lux（彩色模式）；0.0002lux（黑白模式）；0lux（补光灯开启）；</w:t>
            </w:r>
          </w:p>
          <w:p w14:paraId="3EFE56EC">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最大补光距离：30m（暖光）；</w:t>
            </w:r>
          </w:p>
          <w:p w14:paraId="39C9A578">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具备1路100/1000M以太网接口（RJ45接口）；</w:t>
            </w:r>
          </w:p>
          <w:p w14:paraId="158F21AA">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镜头类型：定焦；</w:t>
            </w:r>
          </w:p>
          <w:p w14:paraId="0952A89D">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镜头焦距：3.6mm；</w:t>
            </w:r>
          </w:p>
          <w:p w14:paraId="0BA60544">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镜头光圈：F1.0；</w:t>
            </w:r>
          </w:p>
          <w:p w14:paraId="01B1B130">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视场角：水平≥78°；垂直≥43°；对角≥92°</w:t>
            </w:r>
          </w:p>
          <w:p w14:paraId="1A65DD3A">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通用行为分析：绊线入侵；区域入侵；</w:t>
            </w:r>
          </w:p>
          <w:p w14:paraId="1F861D9B">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走廊模式：90°/270°（在2688×1520分辨率及以下支持）；</w:t>
            </w:r>
          </w:p>
          <w:p w14:paraId="2955E7A7">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内置麦克风</w:t>
            </w:r>
          </w:p>
          <w:p w14:paraId="3B0054CE">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报警事件：网络断开；IP冲突；非法访问；动态检测；视频遮挡；绊线入侵；区域入侵；音频异常侦测；电压检测；安全异常；</w:t>
            </w:r>
          </w:p>
          <w:p w14:paraId="02397646">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接入标准：ONVIF（Profile S &amp; Profile T）；CGI；GB/T28181-2022；</w:t>
            </w:r>
          </w:p>
          <w:p w14:paraId="5553D02E">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支持同时输出20路视频图像以供浏览。</w:t>
            </w:r>
          </w:p>
          <w:p w14:paraId="0349C56E">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供电方式：DC12V/PoE；</w:t>
            </w:r>
          </w:p>
          <w:p w14:paraId="6D0B6B97">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防护等级：IP67</w:t>
            </w:r>
          </w:p>
        </w:tc>
        <w:tc>
          <w:tcPr>
            <w:tcW w:w="868" w:type="dxa"/>
            <w:vAlign w:val="center"/>
          </w:tcPr>
          <w:p w14:paraId="308EBD91">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台</w:t>
            </w:r>
          </w:p>
        </w:tc>
        <w:tc>
          <w:tcPr>
            <w:tcW w:w="868" w:type="dxa"/>
            <w:vAlign w:val="center"/>
          </w:tcPr>
          <w:p w14:paraId="4403EFF9">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72</w:t>
            </w:r>
          </w:p>
        </w:tc>
      </w:tr>
      <w:tr w14:paraId="1425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755B7213">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906" w:type="dxa"/>
            <w:vAlign w:val="center"/>
          </w:tcPr>
          <w:p w14:paraId="199D3916">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400万白光全彩筒型网络摄像机</w:t>
            </w:r>
          </w:p>
        </w:tc>
        <w:tc>
          <w:tcPr>
            <w:tcW w:w="5693" w:type="dxa"/>
            <w:vAlign w:val="center"/>
          </w:tcPr>
          <w:p w14:paraId="43A34E28">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传感器类型：1/3英寸CMOS；</w:t>
            </w:r>
          </w:p>
          <w:p w14:paraId="0F346664">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像素≥400万；</w:t>
            </w:r>
          </w:p>
          <w:p w14:paraId="012BD853">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分辨率≥2560×1440；</w:t>
            </w:r>
          </w:p>
          <w:p w14:paraId="1991D3FC">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水平中心分辨力检查：</w:t>
            </w:r>
          </w:p>
          <w:p w14:paraId="5A51C93A">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不小于1400TVL（2560×1440，码率为1Mbps，帧率为25帧/s）。</w:t>
            </w:r>
          </w:p>
          <w:p w14:paraId="7A21056A">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最低照度：0.01lux（彩色模式）；0.001lux（黑白模式）；0lux（补光灯开启）；</w:t>
            </w:r>
          </w:p>
          <w:p w14:paraId="7395F893">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最大补光距离：50m（红外）；30m（暖光）；</w:t>
            </w:r>
          </w:p>
          <w:p w14:paraId="12A5C3CE">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1路100/1000M以太网接口（RJ45接口），</w:t>
            </w:r>
          </w:p>
          <w:p w14:paraId="0EABDAD3">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内置补光灯</w:t>
            </w:r>
          </w:p>
          <w:p w14:paraId="09367306">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信噪比≥52dB。</w:t>
            </w:r>
          </w:p>
          <w:p w14:paraId="78144BD5">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灰度等级≥11级。</w:t>
            </w:r>
          </w:p>
          <w:p w14:paraId="0017E5A4">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镜头类型：定焦；</w:t>
            </w:r>
          </w:p>
          <w:p w14:paraId="6507EB86">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镜头焦距：3.6mm；</w:t>
            </w:r>
          </w:p>
          <w:p w14:paraId="7D54ADAA">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镜头光圈：F2.0；</w:t>
            </w:r>
          </w:p>
          <w:p w14:paraId="6F33890E">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视场角：水平≥78°；垂直≥43°；对角≥92°；</w:t>
            </w:r>
          </w:p>
          <w:p w14:paraId="4C1289A2">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报警事件：网络断开；IP冲突；非法访问；动态检测；视频遮挡；安全异常；智能动检（人）；音频异常；</w:t>
            </w:r>
          </w:p>
          <w:p w14:paraId="416B431D">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接入标准：ONVIF（Profile S &amp; Profile T）；CGI；GB/T28181</w:t>
            </w:r>
          </w:p>
          <w:p w14:paraId="17F0606A">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支持同时输出20路视频图像以供浏览。</w:t>
            </w:r>
          </w:p>
          <w:p w14:paraId="6EC97A1A">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供电方式：DC12V（±30%）；PoE（802.3af）；</w:t>
            </w:r>
          </w:p>
          <w:p w14:paraId="229AD451">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防护等级：IP67</w:t>
            </w:r>
          </w:p>
        </w:tc>
        <w:tc>
          <w:tcPr>
            <w:tcW w:w="868" w:type="dxa"/>
            <w:vAlign w:val="center"/>
          </w:tcPr>
          <w:p w14:paraId="2BA19CE4">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台</w:t>
            </w:r>
          </w:p>
        </w:tc>
        <w:tc>
          <w:tcPr>
            <w:tcW w:w="868" w:type="dxa"/>
            <w:vAlign w:val="center"/>
          </w:tcPr>
          <w:p w14:paraId="39E31A11">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100</w:t>
            </w:r>
          </w:p>
        </w:tc>
      </w:tr>
      <w:tr w14:paraId="0262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39A3D51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1906" w:type="dxa"/>
            <w:vAlign w:val="center"/>
          </w:tcPr>
          <w:p w14:paraId="6B6F27B0">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网络存储设备</w:t>
            </w:r>
          </w:p>
        </w:tc>
        <w:tc>
          <w:tcPr>
            <w:tcW w:w="5693" w:type="dxa"/>
            <w:vAlign w:val="center"/>
          </w:tcPr>
          <w:p w14:paraId="32AFC1FC">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主处理器：工业级微控制器；</w:t>
            </w:r>
          </w:p>
          <w:p w14:paraId="14C1A24F">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操作系统：嵌入式Linux操作系统；</w:t>
            </w:r>
          </w:p>
          <w:p w14:paraId="3E4536E3">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具有2个HDMI接口、2个VGA接口、2个RJ45网络接口、2个USB2.0接口、2个USB3.0接口、1个RS232接口、2个RS485接口、1个eSata接口；具有1路音频输入接口、2路音频输出接口，9个SATA接口，16个报警输入接口、8个报警输出接口、1个DV12V输出接口</w:t>
            </w:r>
          </w:p>
          <w:p w14:paraId="56C3FE6F">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支持64路网络视频接入，支持384Mbps接入、384Mbps存储、384Mbps转发</w:t>
            </w:r>
          </w:p>
          <w:p w14:paraId="3C0C3A17">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支持前智能：人脸检测比对、周界防范、视频结构化、通用行为分析、立体行为分析、人群分布、人数统计、热度图、车牌识别、SMD功能</w:t>
            </w:r>
          </w:p>
          <w:p w14:paraId="5C430877">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后智能分析：支持后智能人脸检测、人脸识别、周界防范、智能动检；</w:t>
            </w:r>
          </w:p>
          <w:p w14:paraId="39922B9C">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前智能分析：支持前智能人脸检测、人脸识别、视频结构化、周界防范、智能动检、立体行为分析、人像检测、人群分布、人数统计、热度图、车牌识别、车辆密度、物品监控、高空抛物检测、电瓶车入梯；</w:t>
            </w:r>
          </w:p>
          <w:p w14:paraId="48E00DB8">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周界后智能性能（路数）：4路，每路绘制10规则线；</w:t>
            </w:r>
          </w:p>
          <w:p w14:paraId="5868D344">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周界前智能性能（路数）：全通道（最大处理16个事件/秒）；</w:t>
            </w:r>
          </w:p>
          <w:p w14:paraId="21F19AA9">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人脸检测后智能性能（1080P）(路数)：2路，单路同时最多检测12张人脸；</w:t>
            </w:r>
          </w:p>
          <w:p w14:paraId="6F4E77FA">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人脸识别后智能性能（1080P）(路数)：1.前端人脸检测+后端人脸比对支持16路图片流，最多同时处理16张/秒人脸；2.后端人脸检测+后端人脸比对支持2路视频流，最多同时处理12张/秒人脸；</w:t>
            </w:r>
          </w:p>
          <w:p w14:paraId="77E03357">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人脸识别前智能性能（路数）：全通道（最大处理16个事件/秒）；</w:t>
            </w:r>
          </w:p>
          <w:p w14:paraId="7FCF7912">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接入路数：64路；</w:t>
            </w:r>
          </w:p>
          <w:p w14:paraId="3ACAC596">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分辨率：32MP；24MP；16MP；12MP；8MP；6MP；5MP；4MP；3MP；1080p；720p；960p；D1；CIF；</w:t>
            </w:r>
          </w:p>
          <w:p w14:paraId="3828529A">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解码能力：不开智能：2路32MP@25fps；2路24MP@25fps；4路16MP@25fps；6路12MP@25fps；9路8MP@25fps；12路6MP@25fps；14路5MP@25fps；18路4MP@25fps；36路1080p@25fps；开智能：1路32MP@25fps；1路24MP@25fps；2路16MP@30fps；4路12MP@30fps；6路8MP@30fps；8路6MP@30fps；8路5MP@30fps；12路4MP@30fps；24路1080p@30fps；</w:t>
            </w:r>
          </w:p>
          <w:p w14:paraId="045EFB2B">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RAID：RAID0/1/5/6/10；</w:t>
            </w:r>
          </w:p>
          <w:p w14:paraId="6797624B">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报警输入：16路；</w:t>
            </w:r>
          </w:p>
          <w:p w14:paraId="3A5757B5">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报警输出：9路，其中8路继电器输出，1路12V1A ctrl输出；</w:t>
            </w:r>
          </w:p>
          <w:p w14:paraId="110CC688">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硬盘接口：9个SATA，单盘最大20T；</w:t>
            </w:r>
          </w:p>
          <w:p w14:paraId="08ACE7B6">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RS-485接口：2个（1个半双工串行AB接口，1个全双工串行接口）；</w:t>
            </w:r>
          </w:p>
          <w:p w14:paraId="1C2F2E47">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网络接口：2个（10M/100M/1000M以太网口，RJ-45）</w:t>
            </w:r>
          </w:p>
        </w:tc>
        <w:tc>
          <w:tcPr>
            <w:tcW w:w="868" w:type="dxa"/>
            <w:vAlign w:val="center"/>
          </w:tcPr>
          <w:p w14:paraId="3D0FCD46">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台</w:t>
            </w:r>
          </w:p>
        </w:tc>
        <w:tc>
          <w:tcPr>
            <w:tcW w:w="868" w:type="dxa"/>
            <w:vAlign w:val="center"/>
          </w:tcPr>
          <w:p w14:paraId="4E2393EE">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4</w:t>
            </w:r>
          </w:p>
        </w:tc>
      </w:tr>
      <w:tr w14:paraId="711E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0D53EF93">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1906" w:type="dxa"/>
            <w:vAlign w:val="center"/>
          </w:tcPr>
          <w:p w14:paraId="7E1C088D">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储存硬盘</w:t>
            </w:r>
          </w:p>
        </w:tc>
        <w:tc>
          <w:tcPr>
            <w:tcW w:w="5693" w:type="dxa"/>
            <w:vAlign w:val="center"/>
          </w:tcPr>
          <w:p w14:paraId="56712E3E">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1、10TB安防专用硬盘，7200转256M缓存</w:t>
            </w:r>
          </w:p>
          <w:p w14:paraId="0891F1FB">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2、支持单盘、RAID存储方式；</w:t>
            </w:r>
          </w:p>
          <w:p w14:paraId="5FF5C8C6">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3、适用于EVS、IVSS、CSS、NVR；</w:t>
            </w:r>
          </w:p>
          <w:p w14:paraId="4C15CE73">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4、SATA接口、CMR磁记录方式。</w:t>
            </w:r>
          </w:p>
        </w:tc>
        <w:tc>
          <w:tcPr>
            <w:tcW w:w="868" w:type="dxa"/>
            <w:vAlign w:val="center"/>
          </w:tcPr>
          <w:p w14:paraId="56FBAC27">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块</w:t>
            </w:r>
          </w:p>
        </w:tc>
        <w:tc>
          <w:tcPr>
            <w:tcW w:w="868" w:type="dxa"/>
            <w:vAlign w:val="center"/>
          </w:tcPr>
          <w:p w14:paraId="6D4706FD">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28</w:t>
            </w:r>
          </w:p>
        </w:tc>
      </w:tr>
      <w:tr w14:paraId="3B6C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21F3B292">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1906" w:type="dxa"/>
            <w:vAlign w:val="center"/>
          </w:tcPr>
          <w:p w14:paraId="52F9C01F">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网络设备</w:t>
            </w:r>
          </w:p>
        </w:tc>
        <w:tc>
          <w:tcPr>
            <w:tcW w:w="5693" w:type="dxa"/>
            <w:vAlign w:val="center"/>
          </w:tcPr>
          <w:p w14:paraId="266F0294">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1、▲云管交换机，交换容量≥336Gbps，包转发率≥36Mpps；</w:t>
            </w:r>
          </w:p>
          <w:p w14:paraId="349CEDF4">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2、千兆电口≥24个，1-8口支持优先转发，23-24口支持汇聚上联端口；</w:t>
            </w:r>
          </w:p>
          <w:p w14:paraId="593B7166">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3、MAC地址表≥16K，MTBF＞200000H，支持802.1Q VLAN，端口防雷6KV；</w:t>
            </w:r>
          </w:p>
          <w:p w14:paraId="370AF60E">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4、支持可视化交互界面的远程管理与运维，支持拓扑显示，提供官网截图；</w:t>
            </w:r>
          </w:p>
          <w:p w14:paraId="054318D9">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5、无管模式下，支持标准交换、端口隔离、汇聚上联、防环路四种模式切换；</w:t>
            </w:r>
          </w:p>
          <w:p w14:paraId="22ADFEB2">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6、云管模式下，支持防环路、DHCP snooping。</w:t>
            </w:r>
          </w:p>
          <w:p w14:paraId="2C7853CC">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7、支持广播风暴抑制、未知单播抑制、多播风暴抑制</w:t>
            </w:r>
          </w:p>
          <w:p w14:paraId="17161064">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8、静音设计</w:t>
            </w:r>
          </w:p>
        </w:tc>
        <w:tc>
          <w:tcPr>
            <w:tcW w:w="868" w:type="dxa"/>
            <w:vAlign w:val="center"/>
          </w:tcPr>
          <w:p w14:paraId="426BC3B6">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台</w:t>
            </w:r>
          </w:p>
        </w:tc>
        <w:tc>
          <w:tcPr>
            <w:tcW w:w="868" w:type="dxa"/>
            <w:vAlign w:val="center"/>
          </w:tcPr>
          <w:p w14:paraId="6BE65281">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15</w:t>
            </w:r>
          </w:p>
        </w:tc>
      </w:tr>
      <w:tr w14:paraId="6CED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03D37C43">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1906" w:type="dxa"/>
            <w:vAlign w:val="center"/>
          </w:tcPr>
          <w:p w14:paraId="6B9DDB34">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网线</w:t>
            </w:r>
          </w:p>
        </w:tc>
        <w:tc>
          <w:tcPr>
            <w:tcW w:w="5693" w:type="dxa"/>
            <w:vAlign w:val="center"/>
          </w:tcPr>
          <w:p w14:paraId="263448D6">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材质：无氧铜(99.97%)；</w:t>
            </w:r>
          </w:p>
          <w:p w14:paraId="7B637CC1">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导体结构：0.50mm±0.01mm；</w:t>
            </w:r>
          </w:p>
          <w:p w14:paraId="3B1E20BE">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线规：24AWG；</w:t>
            </w:r>
          </w:p>
          <w:p w14:paraId="236EC0E5">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绝缘材质：HDPE；</w:t>
            </w:r>
          </w:p>
          <w:p w14:paraId="7D84E43C">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护套材料：PVC；</w:t>
            </w:r>
          </w:p>
          <w:p w14:paraId="1624B4C2">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护套颜色：灰色；</w:t>
            </w:r>
          </w:p>
          <w:p w14:paraId="73AAE8BE">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长度：305m±2m；</w:t>
            </w:r>
          </w:p>
          <w:p w14:paraId="5C7539F5">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执行标准：YD/T 1019-2013；</w:t>
            </w:r>
          </w:p>
          <w:p w14:paraId="1B2A8257">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绝缘层原色：8芯，蓝/白蓝、橙/白橙、绿/白绿、棕/白棕；</w:t>
            </w:r>
          </w:p>
        </w:tc>
        <w:tc>
          <w:tcPr>
            <w:tcW w:w="868" w:type="dxa"/>
            <w:vAlign w:val="center"/>
          </w:tcPr>
          <w:p w14:paraId="085E2D5D">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箱</w:t>
            </w:r>
          </w:p>
        </w:tc>
        <w:tc>
          <w:tcPr>
            <w:tcW w:w="868" w:type="dxa"/>
            <w:vAlign w:val="center"/>
          </w:tcPr>
          <w:p w14:paraId="225A06E3">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14</w:t>
            </w:r>
          </w:p>
        </w:tc>
      </w:tr>
      <w:tr w14:paraId="63AA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05122ED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1906" w:type="dxa"/>
            <w:vAlign w:val="center"/>
          </w:tcPr>
          <w:p w14:paraId="74B59874">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电源线</w:t>
            </w:r>
          </w:p>
        </w:tc>
        <w:tc>
          <w:tcPr>
            <w:tcW w:w="5693" w:type="dxa"/>
            <w:vAlign w:val="center"/>
          </w:tcPr>
          <w:p w14:paraId="4E68C0FF">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国标纯铜 RVV2*1.5电源线</w:t>
            </w:r>
          </w:p>
        </w:tc>
        <w:tc>
          <w:tcPr>
            <w:tcW w:w="868" w:type="dxa"/>
            <w:vAlign w:val="center"/>
          </w:tcPr>
          <w:p w14:paraId="5C6CF6ED">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米</w:t>
            </w:r>
          </w:p>
        </w:tc>
        <w:tc>
          <w:tcPr>
            <w:tcW w:w="868" w:type="dxa"/>
            <w:vAlign w:val="center"/>
          </w:tcPr>
          <w:p w14:paraId="207E6111">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800</w:t>
            </w:r>
          </w:p>
        </w:tc>
      </w:tr>
      <w:tr w14:paraId="3CAF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03652A9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1906" w:type="dxa"/>
            <w:vAlign w:val="center"/>
          </w:tcPr>
          <w:p w14:paraId="4A8040E9">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监视设备</w:t>
            </w:r>
          </w:p>
        </w:tc>
        <w:tc>
          <w:tcPr>
            <w:tcW w:w="5693" w:type="dxa"/>
            <w:vAlign w:val="center"/>
          </w:tcPr>
          <w:p w14:paraId="734FF6A7">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4K智能LED电视</w:t>
            </w:r>
          </w:p>
          <w:p w14:paraId="1E004378">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屏幕尺寸≥55寸</w:t>
            </w:r>
          </w:p>
          <w:p w14:paraId="75646BF0">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背光类型：直下式</w:t>
            </w:r>
          </w:p>
          <w:p w14:paraId="07525234">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对比度：1200：1</w:t>
            </w:r>
          </w:p>
          <w:p w14:paraId="6FBC0577">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分辨率≥3840*2160</w:t>
            </w:r>
          </w:p>
          <w:p w14:paraId="4E3BD0F0">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扫描频率≥60HZ</w:t>
            </w:r>
          </w:p>
          <w:p w14:paraId="67E9D592">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扫描方式：逐行</w:t>
            </w:r>
          </w:p>
          <w:p w14:paraId="29D4531B">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屏幕比例：16：9</w:t>
            </w:r>
          </w:p>
          <w:p w14:paraId="0A08937E">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对角线尺寸（cm）：138</w:t>
            </w:r>
          </w:p>
          <w:p w14:paraId="3C36F80D">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最大可视角度≥178°</w:t>
            </w:r>
          </w:p>
          <w:p w14:paraId="224681E1">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CPU：四核A35</w:t>
            </w:r>
          </w:p>
          <w:p w14:paraId="3B12809E">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内存≥2G</w:t>
            </w:r>
          </w:p>
          <w:p w14:paraId="7DA21562">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存储容量≥32GB</w:t>
            </w:r>
          </w:p>
          <w:p w14:paraId="30DEFE2C">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USB2.0接口≥2个</w:t>
            </w:r>
          </w:p>
          <w:p w14:paraId="149D3FCA">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HDMI2.0接口≥2个</w:t>
            </w:r>
          </w:p>
          <w:p w14:paraId="61FE12BC">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RJ45网口≥1个</w:t>
            </w:r>
          </w:p>
          <w:p w14:paraId="466F26A3">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RS232接口≥1个</w:t>
            </w:r>
          </w:p>
          <w:p w14:paraId="631AA5F2">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音视频输入接口≥1个</w:t>
            </w:r>
          </w:p>
          <w:p w14:paraId="741131F8">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同轴音频输出接口≥1个</w:t>
            </w:r>
          </w:p>
        </w:tc>
        <w:tc>
          <w:tcPr>
            <w:tcW w:w="868" w:type="dxa"/>
            <w:vAlign w:val="center"/>
          </w:tcPr>
          <w:p w14:paraId="3AA1540C">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台</w:t>
            </w:r>
          </w:p>
        </w:tc>
        <w:tc>
          <w:tcPr>
            <w:tcW w:w="868" w:type="dxa"/>
            <w:vAlign w:val="center"/>
          </w:tcPr>
          <w:p w14:paraId="2AE223C5">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4</w:t>
            </w:r>
          </w:p>
        </w:tc>
      </w:tr>
      <w:tr w14:paraId="699C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42E0BBC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1906" w:type="dxa"/>
            <w:vAlign w:val="center"/>
          </w:tcPr>
          <w:p w14:paraId="1C00AC09">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电脑</w:t>
            </w:r>
          </w:p>
        </w:tc>
        <w:tc>
          <w:tcPr>
            <w:tcW w:w="5693" w:type="dxa"/>
            <w:vAlign w:val="center"/>
          </w:tcPr>
          <w:p w14:paraId="0CBA331F">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8核16线程，主频≥3.0GHz/16G/512G SSD/2G独显/23.8寸显示器</w:t>
            </w:r>
          </w:p>
        </w:tc>
        <w:tc>
          <w:tcPr>
            <w:tcW w:w="868" w:type="dxa"/>
            <w:vAlign w:val="center"/>
          </w:tcPr>
          <w:p w14:paraId="6E07DD6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868" w:type="dxa"/>
            <w:vAlign w:val="center"/>
          </w:tcPr>
          <w:p w14:paraId="474FC45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r>
      <w:tr w14:paraId="101B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480FDE8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w:t>
            </w:r>
          </w:p>
        </w:tc>
        <w:tc>
          <w:tcPr>
            <w:tcW w:w="1906" w:type="dxa"/>
            <w:vAlign w:val="center"/>
          </w:tcPr>
          <w:p w14:paraId="4152CC39">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辅料及人工</w:t>
            </w:r>
          </w:p>
        </w:tc>
        <w:tc>
          <w:tcPr>
            <w:tcW w:w="5693" w:type="dxa"/>
            <w:vAlign w:val="center"/>
          </w:tcPr>
          <w:p w14:paraId="795C8108">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机柜、光收发、电源、支架、水晶头、胶布、穿线管、线槽、尾纤、防水箱、终端盒、光缆等</w:t>
            </w:r>
          </w:p>
        </w:tc>
        <w:tc>
          <w:tcPr>
            <w:tcW w:w="868" w:type="dxa"/>
            <w:vAlign w:val="center"/>
          </w:tcPr>
          <w:p w14:paraId="514F6F8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宗</w:t>
            </w:r>
          </w:p>
        </w:tc>
        <w:tc>
          <w:tcPr>
            <w:tcW w:w="868" w:type="dxa"/>
            <w:vAlign w:val="center"/>
          </w:tcPr>
          <w:p w14:paraId="18A2ED1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r>
      <w:tr w14:paraId="2E27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77BCCDF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w:t>
            </w:r>
          </w:p>
        </w:tc>
        <w:tc>
          <w:tcPr>
            <w:tcW w:w="1906" w:type="dxa"/>
            <w:vAlign w:val="center"/>
          </w:tcPr>
          <w:p w14:paraId="5E0BE6B4">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电梯专用监控</w:t>
            </w:r>
          </w:p>
        </w:tc>
        <w:tc>
          <w:tcPr>
            <w:tcW w:w="5693" w:type="dxa"/>
            <w:vAlign w:val="center"/>
          </w:tcPr>
          <w:p w14:paraId="09793148">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传感器类型：1/2.9英寸CMOS；</w:t>
            </w:r>
          </w:p>
          <w:p w14:paraId="567D0D9A">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像素≥400万；</w:t>
            </w:r>
          </w:p>
          <w:p w14:paraId="275A7CE3">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分辨率≥2688×1520；</w:t>
            </w:r>
          </w:p>
          <w:p w14:paraId="61FE9543">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最低照度：0.002lux（彩色模式）；0.0002lux（黑白模式）；0lux（补光灯开启）；</w:t>
            </w:r>
          </w:p>
          <w:p w14:paraId="52B27648">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最大补光距离：10m（红外）；</w:t>
            </w:r>
          </w:p>
          <w:p w14:paraId="4D35BC01">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补光灯：1颗（红外灯）；1颗（暖光灯）；</w:t>
            </w:r>
          </w:p>
          <w:p w14:paraId="2C89D4CB">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镜头类型：定焦；</w:t>
            </w:r>
          </w:p>
          <w:p w14:paraId="5DCAC2C6">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镜头焦距：2.8mm；</w:t>
            </w:r>
          </w:p>
          <w:p w14:paraId="4658DAA0">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镜头光圈：F1.6；</w:t>
            </w:r>
          </w:p>
          <w:p w14:paraId="6F076445">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视场角：水平：102°；垂直：54°；对角：121°；</w:t>
            </w:r>
          </w:p>
          <w:p w14:paraId="3861B929">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电瓶车入梯：支持对电瓶车进入电梯行为的检测。当电梯内有电瓶车推入触发设定规则时，联动声光报警，实现事中震慑，并联动梯控系统阻止电梯关门，有效干预；支持一个光电式楼层传感器，可检测电梯所在楼层、运行方向和速度，支持电瓶车禁止入梯楼层可设；</w:t>
            </w:r>
          </w:p>
          <w:p w14:paraId="0AC91202">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走廊模式：90°/270°；</w:t>
            </w:r>
          </w:p>
          <w:p w14:paraId="511082F3">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自适应镜头校正（图像矫正）</w:t>
            </w:r>
          </w:p>
          <w:p w14:paraId="08643C62">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内置麦克风</w:t>
            </w:r>
          </w:p>
          <w:p w14:paraId="4FB7E1D9">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内置扬声器</w:t>
            </w:r>
          </w:p>
          <w:p w14:paraId="12B448A1">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报警事件：无SD卡；SD卡空间不足；SD卡出错；网络断开；IP冲突；非法访问；动态检测；视频遮挡；场景变更；音频异常侦测；电压检测；外部报警；安全异常</w:t>
            </w:r>
          </w:p>
          <w:p w14:paraId="2B4E3754">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预览最大用户数：20个（总带宽：64M）；</w:t>
            </w:r>
          </w:p>
          <w:p w14:paraId="23EAD597">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最大Micro SD卡：256GB；</w:t>
            </w:r>
          </w:p>
          <w:p w14:paraId="1162802C">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RS-485接口：1个（波特率范围：1200bps～115200bps）；</w:t>
            </w:r>
          </w:p>
          <w:p w14:paraId="2BBF2578">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报警输入：</w:t>
            </w:r>
          </w:p>
          <w:p w14:paraId="7A37B4C0">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报警输出：</w:t>
            </w:r>
          </w:p>
          <w:p w14:paraId="36640C32">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支持DC12V电源返送</w:t>
            </w:r>
          </w:p>
        </w:tc>
        <w:tc>
          <w:tcPr>
            <w:tcW w:w="868" w:type="dxa"/>
            <w:vAlign w:val="center"/>
          </w:tcPr>
          <w:p w14:paraId="2B8574B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868" w:type="dxa"/>
            <w:vAlign w:val="center"/>
          </w:tcPr>
          <w:p w14:paraId="778718BD">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r>
    </w:tbl>
    <w:p w14:paraId="3989DBD5">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1AAD5CF">
      <w:pPr>
        <w:pStyle w:val="2"/>
        <w:bidi w:val="0"/>
        <w:jc w:val="center"/>
        <w:rPr>
          <w:rFonts w:hint="eastAsia" w:ascii="宋体" w:hAnsi="宋体" w:eastAsia="宋体" w:cs="宋体"/>
          <w:color w:val="auto"/>
          <w:sz w:val="32"/>
          <w:szCs w:val="32"/>
          <w:highlight w:val="none"/>
          <w:shd w:val="clear" w:color="auto" w:fill="auto"/>
          <w:lang w:val="en-US" w:eastAsia="zh-CN"/>
        </w:rPr>
      </w:pPr>
      <w:bookmarkStart w:id="9" w:name="_Toc11236"/>
      <w:r>
        <w:rPr>
          <w:rFonts w:hint="eastAsia" w:ascii="宋体" w:hAnsi="宋体" w:eastAsia="宋体" w:cs="宋体"/>
          <w:color w:val="auto"/>
          <w:sz w:val="32"/>
          <w:szCs w:val="32"/>
          <w:highlight w:val="none"/>
          <w:shd w:val="clear" w:color="auto" w:fill="auto"/>
          <w:lang w:val="en-US" w:eastAsia="zh-CN"/>
        </w:rPr>
        <w:t>第</w:t>
      </w:r>
      <w:r>
        <w:rPr>
          <w:rFonts w:hint="eastAsia" w:ascii="宋体" w:hAnsi="宋体" w:cs="宋体"/>
          <w:color w:val="auto"/>
          <w:sz w:val="32"/>
          <w:szCs w:val="32"/>
          <w:highlight w:val="none"/>
          <w:shd w:val="clear" w:color="auto" w:fill="auto"/>
          <w:lang w:val="en-US" w:eastAsia="zh-CN"/>
        </w:rPr>
        <w:t>四</w:t>
      </w:r>
      <w:r>
        <w:rPr>
          <w:rFonts w:hint="eastAsia" w:ascii="宋体" w:hAnsi="宋体" w:eastAsia="宋体" w:cs="宋体"/>
          <w:color w:val="auto"/>
          <w:sz w:val="32"/>
          <w:szCs w:val="32"/>
          <w:highlight w:val="none"/>
          <w:shd w:val="clear" w:color="auto" w:fill="auto"/>
          <w:lang w:val="en-US" w:eastAsia="zh-CN"/>
        </w:rPr>
        <w:t>部分 合同格式</w:t>
      </w:r>
      <w:bookmarkEnd w:id="8"/>
      <w:bookmarkEnd w:id="9"/>
    </w:p>
    <w:p w14:paraId="28E19101">
      <w:pPr>
        <w:spacing w:line="500" w:lineRule="exact"/>
        <w:jc w:val="center"/>
        <w:rPr>
          <w:rFonts w:hint="eastAsia" w:ascii="宋体" w:hAnsi="宋体" w:eastAsia="宋体" w:cs="宋体"/>
          <w:b/>
          <w:color w:val="auto"/>
          <w:sz w:val="24"/>
          <w:szCs w:val="24"/>
          <w:highlight w:val="none"/>
          <w:shd w:val="clear" w:color="auto" w:fill="auto"/>
          <w:lang w:eastAsia="zh-CN"/>
        </w:rPr>
      </w:pPr>
      <w:r>
        <w:rPr>
          <w:rFonts w:hint="eastAsia" w:ascii="宋体" w:hAnsi="宋体" w:eastAsia="宋体" w:cs="宋体"/>
          <w:b/>
          <w:color w:val="auto"/>
          <w:sz w:val="24"/>
          <w:szCs w:val="24"/>
          <w:highlight w:val="none"/>
          <w:shd w:val="clear" w:color="auto" w:fill="auto"/>
          <w:lang w:eastAsia="zh-CN"/>
        </w:rPr>
        <w:t>（本合同仅为参考，以实际签订合同为准！）</w:t>
      </w:r>
    </w:p>
    <w:p w14:paraId="6402112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lang w:val="en-US" w:eastAsia="zh-CN" w:bidi="ar"/>
        </w:rPr>
      </w:pPr>
    </w:p>
    <w:p w14:paraId="2EB5B826">
      <w:pPr>
        <w:spacing w:line="360" w:lineRule="auto"/>
        <w:jc w:val="center"/>
        <w:rPr>
          <w:rFonts w:hint="eastAsia" w:ascii="宋体" w:hAnsi="宋体" w:eastAsia="宋体" w:cs="宋体"/>
          <w:color w:val="auto"/>
          <w:sz w:val="44"/>
          <w:szCs w:val="44"/>
        </w:rPr>
      </w:pPr>
    </w:p>
    <w:p w14:paraId="5E2A156B">
      <w:pPr>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采购合同</w:t>
      </w:r>
    </w:p>
    <w:p w14:paraId="32208EB1">
      <w:pPr>
        <w:snapToGrid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eastAsia="zh-CN"/>
        </w:rPr>
        <w:t>设备</w:t>
      </w:r>
      <w:r>
        <w:rPr>
          <w:rFonts w:hint="eastAsia" w:ascii="宋体" w:hAnsi="宋体" w:eastAsia="宋体" w:cs="宋体"/>
          <w:color w:val="auto"/>
          <w:sz w:val="28"/>
          <w:szCs w:val="28"/>
        </w:rPr>
        <w:t>类）</w:t>
      </w:r>
    </w:p>
    <w:p w14:paraId="5ABC257D">
      <w:pPr>
        <w:snapToGrid w:val="0"/>
        <w:spacing w:line="360" w:lineRule="auto"/>
        <w:jc w:val="center"/>
        <w:rPr>
          <w:rFonts w:hint="eastAsia" w:ascii="宋体" w:hAnsi="宋体" w:eastAsia="宋体" w:cs="宋体"/>
          <w:color w:val="auto"/>
          <w:sz w:val="28"/>
          <w:szCs w:val="28"/>
        </w:rPr>
      </w:pPr>
    </w:p>
    <w:p w14:paraId="0A71DFB0">
      <w:pPr>
        <w:snapToGrid w:val="0"/>
        <w:spacing w:line="360" w:lineRule="auto"/>
        <w:jc w:val="center"/>
        <w:rPr>
          <w:rFonts w:hint="eastAsia" w:ascii="宋体" w:hAnsi="宋体" w:eastAsia="宋体" w:cs="宋体"/>
          <w:color w:val="auto"/>
          <w:sz w:val="28"/>
          <w:szCs w:val="28"/>
        </w:rPr>
      </w:pPr>
    </w:p>
    <w:p w14:paraId="3AB8B8CA">
      <w:pPr>
        <w:spacing w:line="360" w:lineRule="auto"/>
        <w:ind w:firstLine="640" w:firstLineChars="200"/>
        <w:rPr>
          <w:rFonts w:hint="eastAsia" w:ascii="宋体" w:hAnsi="宋体" w:eastAsia="宋体" w:cs="宋体"/>
          <w:color w:val="auto"/>
          <w:sz w:val="32"/>
          <w:lang w:val="en-US" w:eastAsia="zh-CN"/>
        </w:rPr>
      </w:pPr>
      <w:r>
        <w:rPr>
          <w:rFonts w:hint="eastAsia" w:ascii="宋体" w:hAnsi="宋体" w:eastAsia="宋体" w:cs="宋体"/>
          <w:color w:val="auto"/>
          <w:sz w:val="32"/>
        </w:rPr>
        <w:t>项目名称</w:t>
      </w:r>
      <w:r>
        <w:rPr>
          <w:rFonts w:hint="eastAsia" w:ascii="宋体" w:hAnsi="宋体" w:eastAsia="宋体" w:cs="宋体"/>
          <w:color w:val="auto"/>
          <w:sz w:val="32"/>
          <w:lang w:eastAsia="zh-CN"/>
        </w:rPr>
        <w:t>：</w:t>
      </w:r>
      <w:r>
        <w:rPr>
          <w:rFonts w:hint="eastAsia" w:ascii="宋体" w:hAnsi="宋体" w:eastAsia="宋体" w:cs="宋体"/>
          <w:color w:val="auto"/>
          <w:sz w:val="32"/>
          <w:u w:val="single"/>
        </w:rPr>
        <w:t xml:space="preserve"> </w:t>
      </w:r>
      <w:r>
        <w:rPr>
          <w:rFonts w:hint="eastAsia" w:ascii="宋体" w:hAnsi="宋体" w:eastAsia="宋体" w:cs="宋体"/>
          <w:color w:val="auto"/>
          <w:sz w:val="32"/>
          <w:u w:val="single"/>
          <w:lang w:val="en-US" w:eastAsia="zh-CN"/>
        </w:rPr>
        <w:t xml:space="preserve">                                 </w:t>
      </w:r>
    </w:p>
    <w:p w14:paraId="58FEC479">
      <w:pPr>
        <w:spacing w:line="360" w:lineRule="auto"/>
        <w:ind w:firstLine="640" w:firstLineChars="200"/>
        <w:rPr>
          <w:rFonts w:hint="eastAsia" w:ascii="宋体" w:hAnsi="宋体" w:eastAsia="宋体" w:cs="宋体"/>
          <w:color w:val="auto"/>
          <w:sz w:val="32"/>
          <w:u w:val="single"/>
          <w:lang w:val="en-US" w:eastAsia="zh-CN"/>
        </w:rPr>
      </w:pPr>
      <w:r>
        <w:rPr>
          <w:rFonts w:hint="eastAsia" w:ascii="宋体" w:hAnsi="宋体" w:eastAsia="宋体" w:cs="宋体"/>
          <w:color w:val="auto"/>
          <w:sz w:val="32"/>
        </w:rPr>
        <w:t>合同编号</w:t>
      </w:r>
      <w:r>
        <w:rPr>
          <w:rFonts w:hint="eastAsia" w:ascii="宋体" w:hAnsi="宋体" w:eastAsia="宋体" w:cs="宋体"/>
          <w:color w:val="auto"/>
          <w:sz w:val="32"/>
          <w:lang w:eastAsia="zh-CN"/>
        </w:rPr>
        <w:t>：</w:t>
      </w:r>
      <w:r>
        <w:rPr>
          <w:rFonts w:hint="eastAsia" w:ascii="宋体" w:hAnsi="宋体" w:eastAsia="宋体" w:cs="宋体"/>
          <w:color w:val="auto"/>
          <w:sz w:val="32"/>
          <w:u w:val="single"/>
        </w:rPr>
        <w:t xml:space="preserve"> </w:t>
      </w:r>
      <w:r>
        <w:rPr>
          <w:rFonts w:hint="eastAsia" w:ascii="宋体" w:hAnsi="宋体" w:eastAsia="宋体" w:cs="宋体"/>
          <w:color w:val="auto"/>
          <w:sz w:val="32"/>
          <w:u w:val="single"/>
          <w:lang w:val="en-US" w:eastAsia="zh-CN"/>
        </w:rPr>
        <w:t xml:space="preserve">                                 </w:t>
      </w:r>
    </w:p>
    <w:p w14:paraId="69C6C993">
      <w:pPr>
        <w:spacing w:line="360" w:lineRule="auto"/>
        <w:ind w:firstLine="640" w:firstLineChars="200"/>
        <w:rPr>
          <w:rFonts w:hint="eastAsia" w:ascii="宋体" w:hAnsi="宋体" w:eastAsia="宋体" w:cs="宋体"/>
          <w:b/>
          <w:color w:val="auto"/>
          <w:sz w:val="32"/>
          <w:u w:val="single"/>
          <w:lang w:val="en-US" w:eastAsia="zh-CN"/>
        </w:rPr>
      </w:pPr>
      <w:r>
        <w:rPr>
          <w:rFonts w:hint="eastAsia" w:ascii="宋体" w:hAnsi="宋体" w:eastAsia="宋体" w:cs="宋体"/>
          <w:color w:val="auto"/>
          <w:sz w:val="32"/>
        </w:rPr>
        <w:t>计划编号</w:t>
      </w:r>
      <w:r>
        <w:rPr>
          <w:rFonts w:hint="eastAsia" w:ascii="宋体" w:hAnsi="宋体" w:eastAsia="宋体" w:cs="宋体"/>
          <w:color w:val="auto"/>
          <w:sz w:val="32"/>
          <w:lang w:eastAsia="zh-CN"/>
        </w:rPr>
        <w:t>：</w:t>
      </w:r>
      <w:r>
        <w:rPr>
          <w:rFonts w:hint="eastAsia" w:ascii="宋体" w:hAnsi="宋体" w:eastAsia="宋体" w:cs="宋体"/>
          <w:bCs/>
          <w:color w:val="auto"/>
          <w:sz w:val="32"/>
          <w:u w:val="single"/>
        </w:rPr>
        <w:t xml:space="preserve"> </w:t>
      </w:r>
      <w:r>
        <w:rPr>
          <w:rFonts w:hint="eastAsia" w:ascii="宋体" w:hAnsi="宋体" w:eastAsia="宋体" w:cs="宋体"/>
          <w:bCs/>
          <w:color w:val="auto"/>
          <w:sz w:val="32"/>
          <w:u w:val="single"/>
          <w:lang w:val="en-US" w:eastAsia="zh-CN"/>
        </w:rPr>
        <w:t xml:space="preserve">                                 </w:t>
      </w:r>
    </w:p>
    <w:p w14:paraId="2C667CB7">
      <w:pPr>
        <w:spacing w:line="360" w:lineRule="auto"/>
        <w:jc w:val="center"/>
        <w:rPr>
          <w:rFonts w:hint="eastAsia" w:ascii="宋体" w:hAnsi="宋体" w:eastAsia="宋体" w:cs="宋体"/>
          <w:b/>
          <w:color w:val="auto"/>
        </w:rPr>
      </w:pPr>
    </w:p>
    <w:p w14:paraId="498DF054">
      <w:pPr>
        <w:spacing w:line="360" w:lineRule="auto"/>
        <w:jc w:val="center"/>
        <w:rPr>
          <w:rFonts w:hint="eastAsia" w:ascii="宋体" w:hAnsi="宋体" w:eastAsia="宋体" w:cs="宋体"/>
          <w:b/>
          <w:color w:val="auto"/>
        </w:rPr>
      </w:pPr>
    </w:p>
    <w:p w14:paraId="5C3D6F22">
      <w:pPr>
        <w:spacing w:line="360" w:lineRule="auto"/>
        <w:jc w:val="center"/>
        <w:rPr>
          <w:rFonts w:hint="eastAsia" w:ascii="宋体" w:hAnsi="宋体" w:eastAsia="宋体" w:cs="宋体"/>
          <w:b/>
          <w:color w:val="auto"/>
        </w:rPr>
      </w:pPr>
    </w:p>
    <w:p w14:paraId="0906CCDB">
      <w:pPr>
        <w:spacing w:line="360" w:lineRule="auto"/>
        <w:jc w:val="center"/>
        <w:rPr>
          <w:rFonts w:hint="eastAsia" w:ascii="宋体" w:hAnsi="宋体" w:eastAsia="宋体" w:cs="宋体"/>
          <w:b/>
          <w:color w:val="auto"/>
        </w:rPr>
      </w:pPr>
    </w:p>
    <w:p w14:paraId="5E8AB19C">
      <w:pPr>
        <w:spacing w:line="360" w:lineRule="auto"/>
        <w:jc w:val="center"/>
        <w:rPr>
          <w:rFonts w:hint="eastAsia" w:ascii="宋体" w:hAnsi="宋体" w:eastAsia="宋体" w:cs="宋体"/>
          <w:b/>
          <w:color w:val="auto"/>
        </w:rPr>
      </w:pPr>
    </w:p>
    <w:p w14:paraId="7155403D">
      <w:pPr>
        <w:spacing w:line="360" w:lineRule="auto"/>
        <w:jc w:val="center"/>
        <w:rPr>
          <w:rFonts w:hint="eastAsia" w:ascii="宋体" w:hAnsi="宋体" w:eastAsia="宋体" w:cs="宋体"/>
          <w:b/>
          <w:color w:val="auto"/>
        </w:rPr>
      </w:pPr>
    </w:p>
    <w:p w14:paraId="165C691D">
      <w:pPr>
        <w:spacing w:line="360" w:lineRule="auto"/>
        <w:ind w:firstLine="1968" w:firstLineChars="700"/>
        <w:rPr>
          <w:rFonts w:hint="eastAsia" w:ascii="宋体" w:hAnsi="宋体" w:eastAsia="宋体" w:cs="宋体"/>
          <w:b/>
          <w:color w:val="auto"/>
          <w:sz w:val="28"/>
          <w:lang w:val="en-US" w:eastAsia="zh-CN"/>
        </w:rPr>
      </w:pPr>
      <w:r>
        <w:rPr>
          <w:rFonts w:hint="eastAsia" w:ascii="宋体" w:hAnsi="宋体" w:eastAsia="宋体" w:cs="宋体"/>
          <w:b/>
          <w:color w:val="auto"/>
          <w:sz w:val="28"/>
        </w:rPr>
        <w:t>采 购 人</w:t>
      </w:r>
      <w:r>
        <w:rPr>
          <w:rFonts w:hint="eastAsia" w:ascii="宋体" w:hAnsi="宋体" w:eastAsia="宋体" w:cs="宋体"/>
          <w:b/>
          <w:color w:val="auto"/>
          <w:sz w:val="28"/>
          <w:lang w:eastAsia="zh-CN"/>
        </w:rPr>
        <w:t>：</w:t>
      </w:r>
      <w:r>
        <w:rPr>
          <w:rFonts w:hint="eastAsia" w:ascii="宋体" w:hAnsi="宋体" w:eastAsia="宋体" w:cs="宋体"/>
          <w:b/>
          <w:color w:val="auto"/>
          <w:sz w:val="28"/>
          <w:u w:val="single"/>
        </w:rPr>
        <w:t xml:space="preserve"> </w:t>
      </w:r>
      <w:r>
        <w:rPr>
          <w:rFonts w:hint="eastAsia" w:ascii="宋体" w:hAnsi="宋体" w:eastAsia="宋体" w:cs="宋体"/>
          <w:b/>
          <w:color w:val="auto"/>
          <w:sz w:val="28"/>
          <w:u w:val="single"/>
          <w:lang w:val="en-US" w:eastAsia="zh-CN"/>
        </w:rPr>
        <w:t xml:space="preserve">                    </w:t>
      </w:r>
      <w:r>
        <w:rPr>
          <w:rFonts w:hint="eastAsia" w:ascii="宋体" w:hAnsi="宋体" w:eastAsia="宋体" w:cs="宋体"/>
          <w:b/>
          <w:color w:val="auto"/>
          <w:sz w:val="28"/>
          <w:u w:val="single"/>
        </w:rPr>
        <w:t xml:space="preserve"> </w:t>
      </w:r>
      <w:r>
        <w:rPr>
          <w:rFonts w:hint="eastAsia" w:ascii="宋体" w:hAnsi="宋体" w:eastAsia="宋体" w:cs="宋体"/>
          <w:b/>
          <w:color w:val="auto"/>
          <w:sz w:val="28"/>
          <w:u w:val="single"/>
          <w:lang w:val="en-US" w:eastAsia="zh-CN"/>
        </w:rPr>
        <w:t xml:space="preserve"> </w:t>
      </w:r>
    </w:p>
    <w:p w14:paraId="11AE6BEF">
      <w:pPr>
        <w:spacing w:line="360" w:lineRule="auto"/>
        <w:ind w:firstLine="1968" w:firstLineChars="700"/>
        <w:rPr>
          <w:rFonts w:hint="eastAsia" w:ascii="宋体" w:hAnsi="宋体" w:eastAsia="宋体" w:cs="宋体"/>
          <w:b/>
          <w:color w:val="auto"/>
          <w:sz w:val="28"/>
          <w:u w:val="single"/>
          <w:lang w:val="en-US" w:eastAsia="zh-CN"/>
        </w:rPr>
      </w:pPr>
      <w:r>
        <w:rPr>
          <w:rFonts w:hint="eastAsia" w:ascii="宋体" w:hAnsi="宋体" w:eastAsia="宋体" w:cs="宋体"/>
          <w:b/>
          <w:color w:val="auto"/>
          <w:sz w:val="28"/>
        </w:rPr>
        <w:t>供 应 商：</w:t>
      </w:r>
      <w:r>
        <w:rPr>
          <w:rFonts w:hint="eastAsia" w:ascii="宋体" w:hAnsi="宋体" w:eastAsia="宋体" w:cs="宋体"/>
          <w:b/>
          <w:color w:val="auto"/>
          <w:sz w:val="28"/>
          <w:u w:val="single"/>
        </w:rPr>
        <w:t xml:space="preserve"> </w:t>
      </w:r>
      <w:r>
        <w:rPr>
          <w:rFonts w:hint="eastAsia" w:ascii="宋体" w:hAnsi="宋体" w:eastAsia="宋体" w:cs="宋体"/>
          <w:b/>
          <w:color w:val="auto"/>
          <w:sz w:val="28"/>
          <w:u w:val="single"/>
          <w:lang w:val="en-US" w:eastAsia="zh-CN"/>
        </w:rPr>
        <w:t xml:space="preserve">                    </w:t>
      </w:r>
      <w:r>
        <w:rPr>
          <w:rFonts w:hint="eastAsia" w:ascii="宋体" w:hAnsi="宋体" w:eastAsia="宋体" w:cs="宋体"/>
          <w:b/>
          <w:color w:val="auto"/>
          <w:sz w:val="28"/>
          <w:u w:val="single"/>
        </w:rPr>
        <w:t xml:space="preserve"> </w:t>
      </w:r>
      <w:r>
        <w:rPr>
          <w:rFonts w:hint="eastAsia" w:ascii="宋体" w:hAnsi="宋体" w:eastAsia="宋体" w:cs="宋体"/>
          <w:b/>
          <w:color w:val="auto"/>
          <w:sz w:val="28"/>
          <w:lang w:val="en-US" w:eastAsia="zh-CN"/>
        </w:rPr>
        <w:t xml:space="preserve"> </w:t>
      </w:r>
    </w:p>
    <w:p w14:paraId="5F84D145">
      <w:pPr>
        <w:spacing w:line="360" w:lineRule="auto"/>
        <w:ind w:firstLine="1968" w:firstLineChars="700"/>
        <w:rPr>
          <w:rFonts w:hint="eastAsia" w:ascii="宋体" w:hAnsi="宋体" w:eastAsia="宋体" w:cs="宋体"/>
          <w:b/>
          <w:color w:val="auto"/>
          <w:sz w:val="28"/>
          <w:u w:val="single"/>
        </w:rPr>
      </w:pPr>
      <w:r>
        <w:rPr>
          <w:rFonts w:hint="eastAsia" w:ascii="宋体" w:hAnsi="宋体" w:eastAsia="宋体" w:cs="宋体"/>
          <w:b/>
          <w:color w:val="auto"/>
          <w:sz w:val="28"/>
        </w:rPr>
        <w:t>采购代理机构</w:t>
      </w:r>
      <w:r>
        <w:rPr>
          <w:rFonts w:hint="eastAsia" w:ascii="宋体" w:hAnsi="宋体" w:eastAsia="宋体" w:cs="宋体"/>
          <w:b/>
          <w:color w:val="auto"/>
          <w:sz w:val="28"/>
          <w:lang w:eastAsia="zh-CN"/>
        </w:rPr>
        <w:t>：</w:t>
      </w:r>
      <w:r>
        <w:rPr>
          <w:rFonts w:hint="eastAsia" w:ascii="宋体" w:hAnsi="宋体" w:eastAsia="宋体" w:cs="宋体"/>
          <w:b/>
          <w:color w:val="auto"/>
          <w:sz w:val="28"/>
          <w:u w:val="single"/>
        </w:rPr>
        <w:t xml:space="preserve"> </w:t>
      </w:r>
      <w:r>
        <w:rPr>
          <w:rFonts w:hint="eastAsia" w:ascii="宋体" w:hAnsi="宋体" w:eastAsia="宋体" w:cs="宋体"/>
          <w:b/>
          <w:color w:val="auto"/>
          <w:sz w:val="28"/>
          <w:u w:val="single"/>
          <w:lang w:val="en-US" w:eastAsia="zh-CN"/>
        </w:rPr>
        <w:t xml:space="preserve">                 </w:t>
      </w:r>
      <w:r>
        <w:rPr>
          <w:rFonts w:hint="eastAsia" w:ascii="宋体" w:hAnsi="宋体" w:eastAsia="宋体" w:cs="宋体"/>
          <w:b/>
          <w:color w:val="auto"/>
          <w:sz w:val="28"/>
          <w:u w:val="single"/>
        </w:rPr>
        <w:t xml:space="preserve"> </w:t>
      </w:r>
    </w:p>
    <w:p w14:paraId="5B653CE5">
      <w:pPr>
        <w:spacing w:line="360" w:lineRule="auto"/>
        <w:ind w:firstLine="1968" w:firstLineChars="700"/>
        <w:rPr>
          <w:rFonts w:hint="eastAsia" w:ascii="宋体" w:hAnsi="宋体" w:eastAsia="宋体" w:cs="宋体"/>
          <w:b/>
          <w:color w:val="auto"/>
          <w:sz w:val="28"/>
          <w:u w:val="single"/>
        </w:rPr>
      </w:pPr>
    </w:p>
    <w:p w14:paraId="0457D47C">
      <w:pPr>
        <w:spacing w:line="360" w:lineRule="auto"/>
        <w:ind w:firstLine="2100" w:firstLineChars="700"/>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30"/>
          <w:szCs w:val="30"/>
        </w:rPr>
        <w:t>签订时间：</w:t>
      </w:r>
    </w:p>
    <w:p w14:paraId="4B5CA047">
      <w:pPr>
        <w:ind w:firstLine="480" w:firstLineChars="200"/>
        <w:rPr>
          <w:rFonts w:ascii="宋体" w:hAnsi="宋体" w:eastAsia="宋体" w:cs="宋体"/>
          <w:color w:val="auto"/>
          <w:kern w:val="0"/>
          <w:sz w:val="24"/>
        </w:rPr>
      </w:pPr>
      <w:r>
        <w:rPr>
          <w:rFonts w:hint="eastAsia" w:ascii="宋体" w:hAnsi="宋体" w:eastAsia="宋体" w:cs="宋体"/>
          <w:color w:val="auto"/>
          <w:kern w:val="0"/>
          <w:sz w:val="24"/>
          <w:szCs w:val="24"/>
          <w:lang w:val="en-US" w:eastAsia="zh-CN" w:bidi="ar"/>
        </w:rPr>
        <w:br w:type="page"/>
      </w:r>
      <w:r>
        <w:rPr>
          <w:rFonts w:hint="eastAsia" w:ascii="宋体" w:hAnsi="宋体" w:eastAsia="宋体" w:cs="宋体"/>
          <w:color w:val="auto"/>
          <w:kern w:val="0"/>
          <w:sz w:val="24"/>
        </w:rPr>
        <w:t>采购人（全称）：</w:t>
      </w:r>
    </w:p>
    <w:p w14:paraId="70977169">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 xml:space="preserve">供应商（全称）： </w:t>
      </w:r>
    </w:p>
    <w:p w14:paraId="52667515">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根据《中华人民共和国民法典》及其他有关法律法规，双方经过友好协商，本着诚实守信、互惠互利的原则，就项目服务事宜签订本合同条款，共同达成如下协议：</w:t>
      </w:r>
    </w:p>
    <w:p w14:paraId="27281331">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一、项目概况</w:t>
      </w:r>
    </w:p>
    <w:p w14:paraId="0F276C7A">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1.项目名称：</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w:t>
      </w:r>
    </w:p>
    <w:p w14:paraId="33492178">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2.服务地点：</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 xml:space="preserve">。 </w:t>
      </w:r>
    </w:p>
    <w:p w14:paraId="1054F924">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3.服务内容和范围：</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w:t>
      </w:r>
    </w:p>
    <w:p w14:paraId="2541869E">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二、服务期限</w:t>
      </w:r>
    </w:p>
    <w:p w14:paraId="467EB1CB">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w:t>
      </w:r>
    </w:p>
    <w:p w14:paraId="679CFE08">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三、服务标准</w:t>
      </w:r>
    </w:p>
    <w:p w14:paraId="2709D3E1">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符合</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标准。</w:t>
      </w:r>
    </w:p>
    <w:p w14:paraId="0AA4F063">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四、签约合同价与合同价格形式</w:t>
      </w:r>
      <w:r>
        <w:rPr>
          <w:rFonts w:hint="eastAsia" w:ascii="宋体" w:hAnsi="宋体" w:eastAsia="宋体" w:cs="宋体"/>
          <w:color w:val="auto"/>
          <w:kern w:val="0"/>
          <w:sz w:val="24"/>
        </w:rPr>
        <w:tab/>
      </w:r>
    </w:p>
    <w:p w14:paraId="4E764972">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1.签约合同价为：</w:t>
      </w:r>
    </w:p>
    <w:p w14:paraId="6070A7A9">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人民币（大写）</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 xml:space="preserve"> (¥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元)；</w:t>
      </w:r>
    </w:p>
    <w:p w14:paraId="723E1D98">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2.合同价格形式：</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w:t>
      </w:r>
    </w:p>
    <w:p w14:paraId="5935B275">
      <w:pPr>
        <w:widowControl/>
        <w:spacing w:line="360" w:lineRule="auto"/>
        <w:ind w:firstLine="480"/>
        <w:rPr>
          <w:rFonts w:hint="eastAsia" w:ascii="宋体" w:hAnsi="宋体" w:eastAsia="宋体" w:cs="宋体"/>
          <w:color w:val="auto"/>
          <w:kern w:val="0"/>
          <w:sz w:val="24"/>
          <w:lang w:eastAsia="zh-CN"/>
        </w:rPr>
      </w:pPr>
      <w:r>
        <w:rPr>
          <w:rFonts w:hint="eastAsia" w:ascii="宋体" w:hAnsi="宋体" w:eastAsia="宋体" w:cs="宋体"/>
          <w:color w:val="auto"/>
          <w:kern w:val="0"/>
          <w:sz w:val="24"/>
        </w:rPr>
        <w:t>五、项目</w:t>
      </w:r>
      <w:r>
        <w:rPr>
          <w:rFonts w:hint="eastAsia" w:ascii="宋体" w:hAnsi="宋体" w:eastAsia="宋体" w:cs="宋体"/>
          <w:color w:val="auto"/>
          <w:kern w:val="0"/>
          <w:sz w:val="24"/>
          <w:lang w:eastAsia="zh-CN"/>
        </w:rPr>
        <w:t>负责人</w:t>
      </w:r>
    </w:p>
    <w:p w14:paraId="711FAE9C">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供应商项目</w:t>
      </w:r>
      <w:r>
        <w:rPr>
          <w:rFonts w:hint="eastAsia" w:ascii="宋体" w:hAnsi="宋体" w:eastAsia="宋体" w:cs="宋体"/>
          <w:color w:val="auto"/>
          <w:kern w:val="0"/>
          <w:sz w:val="24"/>
          <w:lang w:eastAsia="zh-CN"/>
        </w:rPr>
        <w:t>负责人</w:t>
      </w:r>
      <w:r>
        <w:rPr>
          <w:rFonts w:hint="eastAsia" w:ascii="宋体" w:hAnsi="宋体" w:eastAsia="宋体" w:cs="宋体"/>
          <w:color w:val="auto"/>
          <w:kern w:val="0"/>
          <w:sz w:val="24"/>
        </w:rPr>
        <w:t>：</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w:t>
      </w:r>
    </w:p>
    <w:p w14:paraId="341F2E56">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六、资金来源</w:t>
      </w:r>
    </w:p>
    <w:p w14:paraId="270A7E3B">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自筹资金：</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 xml:space="preserve">元。   </w:t>
      </w:r>
    </w:p>
    <w:p w14:paraId="601F3038">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七、付款方式</w:t>
      </w:r>
    </w:p>
    <w:p w14:paraId="1D425353">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□一次性支付方式：</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 xml:space="preserve">                                                </w:t>
      </w:r>
    </w:p>
    <w:p w14:paraId="4CF4FE39">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□分期支付方式：</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 xml:space="preserve">                                               </w:t>
      </w:r>
    </w:p>
    <w:p w14:paraId="5A5F5C3F">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□其他支付方式：</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 xml:space="preserve">                                                 </w:t>
      </w:r>
    </w:p>
    <w:p w14:paraId="5804E3DA">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八、合同文件构成</w:t>
      </w:r>
    </w:p>
    <w:p w14:paraId="50D04945">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本协议书与下列文件一起构成合同文件：</w:t>
      </w:r>
    </w:p>
    <w:p w14:paraId="655CE8BD">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（1）中标或成交通知书；</w:t>
      </w:r>
    </w:p>
    <w:p w14:paraId="207EA839">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 xml:space="preserve">（2）投标函及其附录； </w:t>
      </w:r>
    </w:p>
    <w:p w14:paraId="513914B8">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（3）合同条款；</w:t>
      </w:r>
    </w:p>
    <w:p w14:paraId="5CA8340A">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（4）服务标准和要求；</w:t>
      </w:r>
    </w:p>
    <w:p w14:paraId="022EE3B8">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（5）图纸（如果有）；</w:t>
      </w:r>
    </w:p>
    <w:p w14:paraId="5C8DA23B">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（6）服务费用报价表；</w:t>
      </w:r>
    </w:p>
    <w:p w14:paraId="0993B704">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（7）其他合同文件。</w:t>
      </w:r>
    </w:p>
    <w:p w14:paraId="7AD5B173">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在合同订立及履行过程中形成的与合同有关的文件均构成合同文件组成部分。</w:t>
      </w:r>
    </w:p>
    <w:p w14:paraId="12DD976D">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上述各项合同文件包括合同当事人就该项合同文件所作出的补充和修改，属于同一类内容的文件，应以最新签署的为准。专用合同条款及其附件须经合同当事人签字或盖章。</w:t>
      </w:r>
    </w:p>
    <w:p w14:paraId="0CF71D9A">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lang w:eastAsia="zh-CN"/>
        </w:rPr>
        <w:t>九</w:t>
      </w:r>
      <w:r>
        <w:rPr>
          <w:rFonts w:hint="eastAsia" w:ascii="宋体" w:hAnsi="宋体" w:eastAsia="宋体" w:cs="宋体"/>
          <w:color w:val="auto"/>
          <w:kern w:val="0"/>
          <w:sz w:val="24"/>
        </w:rPr>
        <w:t>十、承诺</w:t>
      </w:r>
    </w:p>
    <w:p w14:paraId="22B8D6CD">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1.采购人承诺按照法律规定履行项目审批手续、筹集项目资金并按照合同约定的期限和方式支付合同价款。</w:t>
      </w:r>
    </w:p>
    <w:p w14:paraId="52DD6BA0">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2.供应商承诺按照法律规定及合同约定开展服务工作，确保服务质量和效率，不进行转包及违法分包，并在缺陷责任期及保修期内承担相应的责任。</w:t>
      </w:r>
    </w:p>
    <w:p w14:paraId="604D9C34">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3.采购人和供应商通过招投标形式签订合同的，双方理解并承诺不再就同一项目另行签订与合同实质性内容相背离的协议。</w:t>
      </w:r>
    </w:p>
    <w:p w14:paraId="65EC3830">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十、签订时间</w:t>
      </w:r>
    </w:p>
    <w:p w14:paraId="7FF826C3">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本合同于</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日签订。</w:t>
      </w:r>
    </w:p>
    <w:p w14:paraId="2C4D6D99">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十二、签订地点</w:t>
      </w:r>
    </w:p>
    <w:p w14:paraId="1BC4EE21">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本合同在</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签订。</w:t>
      </w:r>
    </w:p>
    <w:p w14:paraId="3DE23312">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十三、补充协议</w:t>
      </w:r>
    </w:p>
    <w:p w14:paraId="112604F3">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合同未尽事宜，合同当事人另行签订补充协议，补充协议是合同的组成部分。</w:t>
      </w:r>
    </w:p>
    <w:p w14:paraId="023AE208">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十四、合同生效</w:t>
      </w:r>
    </w:p>
    <w:p w14:paraId="61515235">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本合同自生效。</w:t>
      </w:r>
    </w:p>
    <w:p w14:paraId="09252F5D">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十二、合同份数</w:t>
      </w:r>
    </w:p>
    <w:p w14:paraId="4D09EEE2">
      <w:pPr>
        <w:widowControl/>
        <w:spacing w:line="360" w:lineRule="auto"/>
        <w:ind w:firstLine="480"/>
        <w:rPr>
          <w:rFonts w:ascii="宋体" w:hAnsi="宋体" w:eastAsia="宋体" w:cs="宋体"/>
          <w:color w:val="auto"/>
          <w:kern w:val="0"/>
          <w:sz w:val="24"/>
        </w:rPr>
      </w:pPr>
      <w:r>
        <w:rPr>
          <w:rFonts w:hint="eastAsia" w:ascii="宋体" w:hAnsi="宋体" w:eastAsia="宋体" w:cs="宋体"/>
          <w:color w:val="auto"/>
          <w:kern w:val="0"/>
          <w:sz w:val="24"/>
        </w:rPr>
        <w:t>本合同一式6份，均具有同等法律效力，采购人执2份，供应商执2份，代理机构2份。</w:t>
      </w:r>
    </w:p>
    <w:tbl>
      <w:tblPr>
        <w:tblStyle w:val="28"/>
        <w:tblW w:w="9879"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36"/>
        <w:gridCol w:w="240"/>
        <w:gridCol w:w="5203"/>
      </w:tblGrid>
      <w:tr w14:paraId="3051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436" w:type="dxa"/>
            <w:vAlign w:val="center"/>
          </w:tcPr>
          <w:p w14:paraId="4E4F49E5">
            <w:pPr>
              <w:pStyle w:val="44"/>
              <w:ind w:firstLine="0" w:firstLineChars="0"/>
              <w:rPr>
                <w:rFonts w:ascii="宋体" w:hAnsi="宋体" w:cs="宋体"/>
                <w:color w:val="auto"/>
                <w:sz w:val="24"/>
                <w:szCs w:val="20"/>
              </w:rPr>
            </w:pPr>
          </w:p>
          <w:p w14:paraId="5C7EE19A">
            <w:pPr>
              <w:pStyle w:val="44"/>
              <w:ind w:firstLine="0" w:firstLineChars="0"/>
              <w:rPr>
                <w:rFonts w:ascii="宋体" w:hAnsi="宋体" w:cs="宋体"/>
                <w:color w:val="auto"/>
                <w:sz w:val="24"/>
                <w:szCs w:val="20"/>
              </w:rPr>
            </w:pPr>
            <w:r>
              <w:rPr>
                <w:rFonts w:hint="eastAsia" w:ascii="宋体" w:hAnsi="宋体" w:cs="宋体"/>
                <w:color w:val="auto"/>
                <w:sz w:val="24"/>
                <w:szCs w:val="20"/>
              </w:rPr>
              <w:t>采购人： (公章)</w:t>
            </w:r>
          </w:p>
          <w:p w14:paraId="29FC4AB7">
            <w:pPr>
              <w:pStyle w:val="44"/>
              <w:ind w:firstLine="0" w:firstLineChars="0"/>
              <w:rPr>
                <w:rFonts w:ascii="宋体" w:hAnsi="宋体" w:cs="宋体"/>
                <w:color w:val="auto"/>
                <w:sz w:val="24"/>
                <w:szCs w:val="20"/>
              </w:rPr>
            </w:pPr>
          </w:p>
        </w:tc>
        <w:tc>
          <w:tcPr>
            <w:tcW w:w="240" w:type="dxa"/>
            <w:vAlign w:val="center"/>
          </w:tcPr>
          <w:p w14:paraId="69CC2E61">
            <w:pPr>
              <w:pStyle w:val="44"/>
              <w:ind w:firstLine="0" w:firstLineChars="0"/>
              <w:rPr>
                <w:rFonts w:ascii="宋体" w:hAnsi="宋体" w:cs="宋体"/>
                <w:color w:val="auto"/>
                <w:sz w:val="24"/>
                <w:szCs w:val="20"/>
              </w:rPr>
            </w:pPr>
          </w:p>
        </w:tc>
        <w:tc>
          <w:tcPr>
            <w:tcW w:w="5203" w:type="dxa"/>
            <w:vAlign w:val="center"/>
          </w:tcPr>
          <w:p w14:paraId="22B62F49">
            <w:pPr>
              <w:pStyle w:val="44"/>
              <w:ind w:firstLine="0" w:firstLineChars="0"/>
              <w:rPr>
                <w:rFonts w:ascii="宋体" w:hAnsi="宋体" w:cs="宋体"/>
                <w:color w:val="auto"/>
                <w:sz w:val="24"/>
                <w:szCs w:val="20"/>
              </w:rPr>
            </w:pPr>
            <w:r>
              <w:rPr>
                <w:rFonts w:hint="eastAsia" w:ascii="宋体" w:hAnsi="宋体" w:cs="宋体"/>
                <w:color w:val="auto"/>
                <w:sz w:val="24"/>
                <w:szCs w:val="20"/>
              </w:rPr>
              <w:t>供应商： (公章)</w:t>
            </w:r>
          </w:p>
        </w:tc>
      </w:tr>
      <w:tr w14:paraId="6B150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436" w:type="dxa"/>
            <w:vAlign w:val="center"/>
          </w:tcPr>
          <w:p w14:paraId="7B6CF1A0">
            <w:pPr>
              <w:pStyle w:val="44"/>
              <w:ind w:firstLine="0" w:firstLineChars="0"/>
              <w:rPr>
                <w:rFonts w:ascii="宋体" w:hAnsi="宋体" w:cs="宋体"/>
                <w:color w:val="auto"/>
                <w:sz w:val="24"/>
                <w:szCs w:val="20"/>
                <w:lang w:val="en-US"/>
              </w:rPr>
            </w:pPr>
            <w:r>
              <w:rPr>
                <w:rFonts w:hint="eastAsia" w:ascii="宋体" w:hAnsi="宋体" w:cs="宋体"/>
                <w:color w:val="auto"/>
                <w:sz w:val="24"/>
                <w:szCs w:val="20"/>
              </w:rPr>
              <w:t>法定代表人或其委托代理人</w:t>
            </w:r>
            <w:r>
              <w:rPr>
                <w:rFonts w:hint="eastAsia" w:ascii="宋体" w:hAnsi="宋体" w:cs="宋体"/>
                <w:color w:val="auto"/>
                <w:sz w:val="24"/>
                <w:szCs w:val="20"/>
                <w:lang w:val="en-US"/>
              </w:rPr>
              <w:t>：</w:t>
            </w:r>
          </w:p>
          <w:p w14:paraId="65A1A364">
            <w:pPr>
              <w:pStyle w:val="44"/>
              <w:ind w:firstLine="0" w:firstLineChars="0"/>
              <w:rPr>
                <w:rFonts w:ascii="宋体" w:hAnsi="宋体" w:cs="宋体"/>
                <w:color w:val="auto"/>
                <w:sz w:val="24"/>
                <w:szCs w:val="20"/>
              </w:rPr>
            </w:pPr>
            <w:r>
              <w:rPr>
                <w:rFonts w:hint="eastAsia" w:ascii="宋体" w:hAnsi="宋体" w:cs="宋体"/>
                <w:color w:val="auto"/>
                <w:sz w:val="24"/>
                <w:szCs w:val="20"/>
              </w:rPr>
              <w:t>（签字）</w:t>
            </w:r>
          </w:p>
        </w:tc>
        <w:tc>
          <w:tcPr>
            <w:tcW w:w="240" w:type="dxa"/>
            <w:vAlign w:val="center"/>
          </w:tcPr>
          <w:p w14:paraId="392721C0">
            <w:pPr>
              <w:pStyle w:val="44"/>
              <w:ind w:firstLine="0" w:firstLineChars="0"/>
              <w:rPr>
                <w:rFonts w:ascii="宋体" w:hAnsi="宋体" w:cs="宋体"/>
                <w:color w:val="auto"/>
                <w:sz w:val="24"/>
                <w:szCs w:val="20"/>
              </w:rPr>
            </w:pPr>
          </w:p>
        </w:tc>
        <w:tc>
          <w:tcPr>
            <w:tcW w:w="5203" w:type="dxa"/>
            <w:vAlign w:val="center"/>
          </w:tcPr>
          <w:p w14:paraId="5F9AFC62">
            <w:pPr>
              <w:pStyle w:val="44"/>
              <w:ind w:firstLine="0" w:firstLineChars="0"/>
              <w:rPr>
                <w:rFonts w:ascii="宋体" w:hAnsi="宋体" w:cs="宋体"/>
                <w:color w:val="auto"/>
                <w:sz w:val="24"/>
                <w:szCs w:val="20"/>
              </w:rPr>
            </w:pPr>
            <w:r>
              <w:rPr>
                <w:rFonts w:hint="eastAsia" w:ascii="宋体" w:hAnsi="宋体" w:cs="宋体"/>
                <w:color w:val="auto"/>
                <w:sz w:val="24"/>
                <w:szCs w:val="20"/>
              </w:rPr>
              <w:t>法定代表人或其委托代理人：</w:t>
            </w:r>
          </w:p>
          <w:p w14:paraId="5253E5D0">
            <w:pPr>
              <w:pStyle w:val="44"/>
              <w:ind w:firstLine="0" w:firstLineChars="0"/>
              <w:rPr>
                <w:rFonts w:ascii="宋体" w:hAnsi="宋体" w:cs="宋体"/>
                <w:color w:val="auto"/>
                <w:sz w:val="24"/>
                <w:szCs w:val="20"/>
              </w:rPr>
            </w:pPr>
            <w:r>
              <w:rPr>
                <w:rFonts w:hint="eastAsia" w:ascii="宋体" w:hAnsi="宋体" w:cs="宋体"/>
                <w:color w:val="auto"/>
                <w:sz w:val="24"/>
                <w:szCs w:val="20"/>
              </w:rPr>
              <w:t>（签字）</w:t>
            </w:r>
          </w:p>
        </w:tc>
      </w:tr>
      <w:tr w14:paraId="4EA3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436" w:type="dxa"/>
            <w:vAlign w:val="center"/>
          </w:tcPr>
          <w:p w14:paraId="267E450E">
            <w:pPr>
              <w:pStyle w:val="44"/>
              <w:ind w:firstLine="0" w:firstLineChars="0"/>
              <w:rPr>
                <w:rFonts w:ascii="宋体" w:hAnsi="宋体" w:cs="宋体"/>
                <w:color w:val="auto"/>
                <w:sz w:val="24"/>
                <w:szCs w:val="20"/>
              </w:rPr>
            </w:pPr>
            <w:r>
              <w:rPr>
                <w:rFonts w:hint="eastAsia" w:ascii="宋体" w:hAnsi="宋体" w:cs="宋体"/>
                <w:color w:val="auto"/>
                <w:sz w:val="24"/>
                <w:szCs w:val="20"/>
              </w:rPr>
              <w:t xml:space="preserve">住所： </w:t>
            </w:r>
          </w:p>
        </w:tc>
        <w:tc>
          <w:tcPr>
            <w:tcW w:w="240" w:type="dxa"/>
            <w:vAlign w:val="center"/>
          </w:tcPr>
          <w:p w14:paraId="2478C750">
            <w:pPr>
              <w:pStyle w:val="44"/>
              <w:ind w:firstLine="0" w:firstLineChars="0"/>
              <w:rPr>
                <w:rFonts w:ascii="宋体" w:hAnsi="宋体" w:cs="宋体"/>
                <w:color w:val="auto"/>
                <w:sz w:val="24"/>
                <w:szCs w:val="20"/>
              </w:rPr>
            </w:pPr>
          </w:p>
        </w:tc>
        <w:tc>
          <w:tcPr>
            <w:tcW w:w="5203" w:type="dxa"/>
            <w:vAlign w:val="center"/>
          </w:tcPr>
          <w:p w14:paraId="79AC688E">
            <w:pPr>
              <w:pStyle w:val="44"/>
              <w:ind w:firstLine="0" w:firstLineChars="0"/>
              <w:rPr>
                <w:rFonts w:ascii="宋体" w:hAnsi="宋体" w:cs="宋体"/>
                <w:color w:val="auto"/>
                <w:sz w:val="24"/>
                <w:szCs w:val="20"/>
              </w:rPr>
            </w:pPr>
            <w:r>
              <w:rPr>
                <w:rFonts w:hint="eastAsia" w:ascii="宋体" w:hAnsi="宋体" w:cs="宋体"/>
                <w:color w:val="auto"/>
                <w:sz w:val="24"/>
                <w:szCs w:val="20"/>
              </w:rPr>
              <w:t xml:space="preserve">住所： </w:t>
            </w:r>
          </w:p>
        </w:tc>
      </w:tr>
      <w:tr w14:paraId="5725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436" w:type="dxa"/>
            <w:vAlign w:val="center"/>
          </w:tcPr>
          <w:p w14:paraId="1A4B83BF">
            <w:pPr>
              <w:pStyle w:val="44"/>
              <w:ind w:firstLine="0" w:firstLineChars="0"/>
              <w:rPr>
                <w:rFonts w:ascii="宋体" w:hAnsi="宋体" w:cs="宋体"/>
                <w:color w:val="auto"/>
                <w:sz w:val="24"/>
                <w:szCs w:val="20"/>
              </w:rPr>
            </w:pPr>
            <w:r>
              <w:rPr>
                <w:rFonts w:hint="eastAsia" w:ascii="宋体" w:hAnsi="宋体" w:cs="宋体"/>
                <w:color w:val="auto"/>
                <w:sz w:val="24"/>
                <w:szCs w:val="20"/>
              </w:rPr>
              <w:t>法定代表人：</w:t>
            </w:r>
          </w:p>
        </w:tc>
        <w:tc>
          <w:tcPr>
            <w:tcW w:w="240" w:type="dxa"/>
            <w:vAlign w:val="center"/>
          </w:tcPr>
          <w:p w14:paraId="5C182013">
            <w:pPr>
              <w:pStyle w:val="44"/>
              <w:ind w:firstLine="0" w:firstLineChars="0"/>
              <w:rPr>
                <w:rFonts w:ascii="宋体" w:hAnsi="宋体" w:cs="宋体"/>
                <w:color w:val="auto"/>
                <w:sz w:val="24"/>
                <w:szCs w:val="20"/>
              </w:rPr>
            </w:pPr>
          </w:p>
        </w:tc>
        <w:tc>
          <w:tcPr>
            <w:tcW w:w="5203" w:type="dxa"/>
            <w:vAlign w:val="center"/>
          </w:tcPr>
          <w:p w14:paraId="22948CF7">
            <w:pPr>
              <w:pStyle w:val="44"/>
              <w:ind w:firstLine="0" w:firstLineChars="0"/>
              <w:rPr>
                <w:rFonts w:ascii="宋体" w:hAnsi="宋体" w:cs="宋体"/>
                <w:color w:val="auto"/>
                <w:sz w:val="24"/>
                <w:szCs w:val="20"/>
              </w:rPr>
            </w:pPr>
            <w:r>
              <w:rPr>
                <w:rFonts w:hint="eastAsia" w:ascii="宋体" w:hAnsi="宋体" w:cs="宋体"/>
                <w:color w:val="auto"/>
                <w:sz w:val="24"/>
                <w:szCs w:val="20"/>
              </w:rPr>
              <w:t>法定代表人：</w:t>
            </w:r>
          </w:p>
        </w:tc>
      </w:tr>
      <w:tr w14:paraId="6F41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436" w:type="dxa"/>
            <w:vAlign w:val="center"/>
          </w:tcPr>
          <w:p w14:paraId="3DC72019">
            <w:pPr>
              <w:pStyle w:val="44"/>
              <w:ind w:firstLine="0" w:firstLineChars="0"/>
              <w:rPr>
                <w:rFonts w:ascii="宋体" w:hAnsi="宋体" w:cs="宋体"/>
                <w:color w:val="auto"/>
                <w:sz w:val="24"/>
                <w:szCs w:val="20"/>
              </w:rPr>
            </w:pPr>
            <w:r>
              <w:rPr>
                <w:rFonts w:hint="eastAsia" w:ascii="宋体" w:hAnsi="宋体" w:cs="宋体"/>
                <w:color w:val="auto"/>
                <w:sz w:val="24"/>
                <w:szCs w:val="20"/>
              </w:rPr>
              <w:t>委托代理人：</w:t>
            </w:r>
          </w:p>
        </w:tc>
        <w:tc>
          <w:tcPr>
            <w:tcW w:w="240" w:type="dxa"/>
            <w:vAlign w:val="center"/>
          </w:tcPr>
          <w:p w14:paraId="44B6C6C8">
            <w:pPr>
              <w:pStyle w:val="44"/>
              <w:ind w:firstLine="0" w:firstLineChars="0"/>
              <w:rPr>
                <w:rFonts w:ascii="宋体" w:hAnsi="宋体" w:cs="宋体"/>
                <w:color w:val="auto"/>
                <w:sz w:val="24"/>
                <w:szCs w:val="20"/>
              </w:rPr>
            </w:pPr>
          </w:p>
        </w:tc>
        <w:tc>
          <w:tcPr>
            <w:tcW w:w="5203" w:type="dxa"/>
            <w:vAlign w:val="center"/>
          </w:tcPr>
          <w:p w14:paraId="0594F0E8">
            <w:pPr>
              <w:pStyle w:val="44"/>
              <w:ind w:firstLine="0" w:firstLineChars="0"/>
              <w:rPr>
                <w:rFonts w:ascii="宋体" w:hAnsi="宋体" w:cs="宋体"/>
                <w:color w:val="auto"/>
                <w:sz w:val="24"/>
                <w:szCs w:val="20"/>
              </w:rPr>
            </w:pPr>
            <w:r>
              <w:rPr>
                <w:rFonts w:hint="eastAsia" w:ascii="宋体" w:hAnsi="宋体" w:cs="宋体"/>
                <w:color w:val="auto"/>
                <w:sz w:val="24"/>
                <w:szCs w:val="20"/>
              </w:rPr>
              <w:t>委托代理人：</w:t>
            </w:r>
          </w:p>
        </w:tc>
      </w:tr>
      <w:tr w14:paraId="0768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436" w:type="dxa"/>
            <w:vAlign w:val="center"/>
          </w:tcPr>
          <w:p w14:paraId="5225307A">
            <w:pPr>
              <w:pStyle w:val="44"/>
              <w:ind w:firstLine="0" w:firstLineChars="0"/>
              <w:rPr>
                <w:rFonts w:ascii="宋体" w:hAnsi="宋体" w:cs="宋体"/>
                <w:color w:val="auto"/>
                <w:sz w:val="24"/>
                <w:szCs w:val="20"/>
              </w:rPr>
            </w:pPr>
            <w:r>
              <w:rPr>
                <w:rFonts w:hint="eastAsia" w:ascii="宋体" w:hAnsi="宋体" w:cs="宋体"/>
                <w:color w:val="auto"/>
                <w:sz w:val="24"/>
                <w:szCs w:val="20"/>
              </w:rPr>
              <w:t>电 话：</w:t>
            </w:r>
          </w:p>
        </w:tc>
        <w:tc>
          <w:tcPr>
            <w:tcW w:w="240" w:type="dxa"/>
            <w:vAlign w:val="center"/>
          </w:tcPr>
          <w:p w14:paraId="6CC53050">
            <w:pPr>
              <w:pStyle w:val="44"/>
              <w:ind w:firstLine="0" w:firstLineChars="0"/>
              <w:rPr>
                <w:rFonts w:ascii="宋体" w:hAnsi="宋体" w:cs="宋体"/>
                <w:color w:val="auto"/>
                <w:sz w:val="24"/>
                <w:szCs w:val="20"/>
              </w:rPr>
            </w:pPr>
          </w:p>
        </w:tc>
        <w:tc>
          <w:tcPr>
            <w:tcW w:w="5203" w:type="dxa"/>
            <w:vAlign w:val="center"/>
          </w:tcPr>
          <w:p w14:paraId="275FFDDA">
            <w:pPr>
              <w:pStyle w:val="44"/>
              <w:ind w:firstLine="0" w:firstLineChars="0"/>
              <w:rPr>
                <w:rFonts w:ascii="宋体" w:hAnsi="宋体" w:cs="宋体"/>
                <w:color w:val="auto"/>
                <w:sz w:val="24"/>
                <w:szCs w:val="20"/>
              </w:rPr>
            </w:pPr>
            <w:r>
              <w:rPr>
                <w:rFonts w:hint="eastAsia" w:ascii="宋体" w:hAnsi="宋体" w:cs="宋体"/>
                <w:color w:val="auto"/>
                <w:sz w:val="24"/>
                <w:szCs w:val="20"/>
              </w:rPr>
              <w:t>电 话：</w:t>
            </w:r>
          </w:p>
        </w:tc>
      </w:tr>
      <w:tr w14:paraId="1742E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4436" w:type="dxa"/>
            <w:vAlign w:val="center"/>
          </w:tcPr>
          <w:p w14:paraId="257CEAD8">
            <w:pPr>
              <w:pStyle w:val="44"/>
              <w:ind w:firstLine="0" w:firstLineChars="0"/>
              <w:rPr>
                <w:rFonts w:ascii="宋体" w:hAnsi="宋体" w:cs="宋体"/>
                <w:color w:val="auto"/>
                <w:sz w:val="24"/>
                <w:szCs w:val="20"/>
              </w:rPr>
            </w:pPr>
            <w:r>
              <w:rPr>
                <w:rFonts w:hint="eastAsia" w:ascii="宋体" w:hAnsi="宋体" w:cs="宋体"/>
                <w:color w:val="auto"/>
                <w:sz w:val="24"/>
                <w:szCs w:val="20"/>
              </w:rPr>
              <w:t>传真：</w:t>
            </w:r>
          </w:p>
        </w:tc>
        <w:tc>
          <w:tcPr>
            <w:tcW w:w="240" w:type="dxa"/>
            <w:vAlign w:val="center"/>
          </w:tcPr>
          <w:p w14:paraId="1DDDA249">
            <w:pPr>
              <w:pStyle w:val="44"/>
              <w:ind w:firstLine="0" w:firstLineChars="0"/>
              <w:rPr>
                <w:rFonts w:ascii="宋体" w:hAnsi="宋体" w:cs="宋体"/>
                <w:color w:val="auto"/>
                <w:sz w:val="24"/>
                <w:szCs w:val="20"/>
              </w:rPr>
            </w:pPr>
          </w:p>
        </w:tc>
        <w:tc>
          <w:tcPr>
            <w:tcW w:w="5203" w:type="dxa"/>
            <w:vAlign w:val="center"/>
          </w:tcPr>
          <w:p w14:paraId="4BDBF1CC">
            <w:pPr>
              <w:pStyle w:val="44"/>
              <w:ind w:firstLine="0" w:firstLineChars="0"/>
              <w:rPr>
                <w:rFonts w:ascii="宋体" w:hAnsi="宋体" w:cs="宋体"/>
                <w:color w:val="auto"/>
                <w:sz w:val="24"/>
                <w:szCs w:val="20"/>
              </w:rPr>
            </w:pPr>
            <w:r>
              <w:rPr>
                <w:rFonts w:hint="eastAsia" w:ascii="宋体" w:hAnsi="宋体" w:cs="宋体"/>
                <w:color w:val="auto"/>
                <w:sz w:val="24"/>
                <w:szCs w:val="20"/>
              </w:rPr>
              <w:t>传真：</w:t>
            </w:r>
          </w:p>
        </w:tc>
      </w:tr>
      <w:tr w14:paraId="09E7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436" w:type="dxa"/>
            <w:vAlign w:val="center"/>
          </w:tcPr>
          <w:p w14:paraId="47841005">
            <w:pPr>
              <w:pStyle w:val="44"/>
              <w:ind w:firstLine="0" w:firstLineChars="0"/>
              <w:rPr>
                <w:rFonts w:ascii="宋体" w:hAnsi="宋体" w:cs="宋体"/>
                <w:color w:val="auto"/>
                <w:sz w:val="24"/>
                <w:szCs w:val="20"/>
              </w:rPr>
            </w:pPr>
            <w:r>
              <w:rPr>
                <w:rFonts w:hint="eastAsia" w:ascii="宋体" w:hAnsi="宋体" w:cs="宋体"/>
                <w:color w:val="auto"/>
                <w:sz w:val="24"/>
                <w:szCs w:val="20"/>
              </w:rPr>
              <w:t>开户银行：</w:t>
            </w:r>
          </w:p>
        </w:tc>
        <w:tc>
          <w:tcPr>
            <w:tcW w:w="240" w:type="dxa"/>
            <w:vAlign w:val="center"/>
          </w:tcPr>
          <w:p w14:paraId="23A173A4">
            <w:pPr>
              <w:pStyle w:val="44"/>
              <w:ind w:firstLine="0" w:firstLineChars="0"/>
              <w:rPr>
                <w:rFonts w:ascii="宋体" w:hAnsi="宋体" w:cs="宋体"/>
                <w:color w:val="auto"/>
                <w:sz w:val="24"/>
                <w:szCs w:val="20"/>
              </w:rPr>
            </w:pPr>
          </w:p>
        </w:tc>
        <w:tc>
          <w:tcPr>
            <w:tcW w:w="5203" w:type="dxa"/>
            <w:vAlign w:val="center"/>
          </w:tcPr>
          <w:p w14:paraId="731D5E14">
            <w:pPr>
              <w:pStyle w:val="44"/>
              <w:ind w:firstLine="0" w:firstLineChars="0"/>
              <w:rPr>
                <w:rFonts w:ascii="宋体" w:hAnsi="宋体" w:cs="宋体"/>
                <w:color w:val="auto"/>
                <w:sz w:val="24"/>
                <w:szCs w:val="20"/>
              </w:rPr>
            </w:pPr>
            <w:r>
              <w:rPr>
                <w:rFonts w:hint="eastAsia" w:ascii="宋体" w:hAnsi="宋体" w:cs="宋体"/>
                <w:color w:val="auto"/>
                <w:sz w:val="24"/>
                <w:szCs w:val="20"/>
              </w:rPr>
              <w:t xml:space="preserve">开户银行： </w:t>
            </w:r>
          </w:p>
        </w:tc>
      </w:tr>
      <w:tr w14:paraId="7BD3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436" w:type="dxa"/>
            <w:vAlign w:val="center"/>
          </w:tcPr>
          <w:p w14:paraId="44A55790">
            <w:pPr>
              <w:pStyle w:val="44"/>
              <w:ind w:firstLine="0" w:firstLineChars="0"/>
              <w:rPr>
                <w:rFonts w:ascii="宋体" w:hAnsi="宋体" w:cs="宋体"/>
                <w:color w:val="auto"/>
                <w:sz w:val="24"/>
                <w:szCs w:val="20"/>
              </w:rPr>
            </w:pPr>
            <w:r>
              <w:rPr>
                <w:rFonts w:hint="eastAsia" w:ascii="宋体" w:hAnsi="宋体" w:cs="宋体"/>
                <w:color w:val="auto"/>
                <w:sz w:val="24"/>
                <w:szCs w:val="20"/>
              </w:rPr>
              <w:t>账号：</w:t>
            </w:r>
          </w:p>
        </w:tc>
        <w:tc>
          <w:tcPr>
            <w:tcW w:w="240" w:type="dxa"/>
            <w:vAlign w:val="center"/>
          </w:tcPr>
          <w:p w14:paraId="18E4309A">
            <w:pPr>
              <w:pStyle w:val="44"/>
              <w:ind w:firstLine="0" w:firstLineChars="0"/>
              <w:rPr>
                <w:rFonts w:ascii="宋体" w:hAnsi="宋体" w:cs="宋体"/>
                <w:color w:val="auto"/>
                <w:sz w:val="24"/>
                <w:szCs w:val="20"/>
              </w:rPr>
            </w:pPr>
          </w:p>
        </w:tc>
        <w:tc>
          <w:tcPr>
            <w:tcW w:w="5203" w:type="dxa"/>
            <w:vAlign w:val="center"/>
          </w:tcPr>
          <w:p w14:paraId="6643DF09">
            <w:pPr>
              <w:pStyle w:val="44"/>
              <w:ind w:firstLine="0" w:firstLineChars="0"/>
              <w:rPr>
                <w:rFonts w:ascii="宋体" w:hAnsi="宋体" w:cs="宋体"/>
                <w:color w:val="auto"/>
                <w:sz w:val="24"/>
                <w:szCs w:val="20"/>
              </w:rPr>
            </w:pPr>
            <w:r>
              <w:rPr>
                <w:rFonts w:hint="eastAsia" w:ascii="宋体" w:hAnsi="宋体" w:cs="宋体"/>
                <w:color w:val="auto"/>
                <w:sz w:val="24"/>
                <w:szCs w:val="20"/>
              </w:rPr>
              <w:t>账号：</w:t>
            </w:r>
          </w:p>
        </w:tc>
      </w:tr>
      <w:tr w14:paraId="0EFF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436" w:type="dxa"/>
            <w:vAlign w:val="center"/>
          </w:tcPr>
          <w:p w14:paraId="007B0E69">
            <w:pPr>
              <w:pStyle w:val="44"/>
              <w:ind w:firstLine="0" w:firstLineChars="0"/>
              <w:rPr>
                <w:rFonts w:ascii="宋体" w:hAnsi="宋体" w:cs="宋体"/>
                <w:color w:val="auto"/>
                <w:sz w:val="24"/>
                <w:szCs w:val="20"/>
              </w:rPr>
            </w:pPr>
            <w:r>
              <w:rPr>
                <w:rFonts w:hint="eastAsia" w:ascii="宋体" w:hAnsi="宋体" w:cs="宋体"/>
                <w:color w:val="auto"/>
                <w:sz w:val="24"/>
                <w:szCs w:val="20"/>
              </w:rPr>
              <w:t>邮政编码：</w:t>
            </w:r>
          </w:p>
        </w:tc>
        <w:tc>
          <w:tcPr>
            <w:tcW w:w="240" w:type="dxa"/>
            <w:vAlign w:val="center"/>
          </w:tcPr>
          <w:p w14:paraId="159EB7E8">
            <w:pPr>
              <w:pStyle w:val="44"/>
              <w:ind w:firstLine="0" w:firstLineChars="0"/>
              <w:rPr>
                <w:rFonts w:ascii="宋体" w:hAnsi="宋体" w:cs="宋体"/>
                <w:color w:val="auto"/>
                <w:sz w:val="24"/>
                <w:szCs w:val="20"/>
              </w:rPr>
            </w:pPr>
          </w:p>
        </w:tc>
        <w:tc>
          <w:tcPr>
            <w:tcW w:w="5203" w:type="dxa"/>
            <w:vAlign w:val="center"/>
          </w:tcPr>
          <w:p w14:paraId="70234530">
            <w:pPr>
              <w:pStyle w:val="44"/>
              <w:ind w:firstLine="0" w:firstLineChars="0"/>
              <w:rPr>
                <w:rFonts w:ascii="宋体" w:hAnsi="宋体" w:cs="宋体"/>
                <w:color w:val="auto"/>
                <w:sz w:val="24"/>
                <w:szCs w:val="20"/>
              </w:rPr>
            </w:pPr>
            <w:r>
              <w:rPr>
                <w:rFonts w:hint="eastAsia" w:ascii="宋体" w:hAnsi="宋体" w:cs="宋体"/>
                <w:color w:val="auto"/>
                <w:sz w:val="24"/>
                <w:szCs w:val="20"/>
              </w:rPr>
              <w:t>邮政编码：</w:t>
            </w:r>
          </w:p>
        </w:tc>
      </w:tr>
    </w:tbl>
    <w:p w14:paraId="3614F3CB">
      <w:pPr>
        <w:widowControl/>
        <w:spacing w:line="360" w:lineRule="auto"/>
        <w:ind w:firstLine="480"/>
        <w:rPr>
          <w:rFonts w:ascii="宋体" w:hAnsi="宋体" w:eastAsia="宋体" w:cs="宋体"/>
          <w:color w:val="auto"/>
          <w:kern w:val="0"/>
          <w:sz w:val="24"/>
        </w:rPr>
      </w:pPr>
    </w:p>
    <w:p w14:paraId="0BF07E19">
      <w:pPr>
        <w:widowControl/>
        <w:spacing w:line="360" w:lineRule="auto"/>
        <w:ind w:firstLine="480"/>
        <w:rPr>
          <w:rFonts w:ascii="宋体" w:hAnsi="宋体" w:eastAsia="宋体" w:cs="宋体"/>
          <w:color w:val="auto"/>
          <w:kern w:val="0"/>
          <w:sz w:val="24"/>
        </w:rPr>
      </w:pPr>
    </w:p>
    <w:p w14:paraId="391CC92B">
      <w:pPr>
        <w:widowControl/>
        <w:spacing w:line="360" w:lineRule="auto"/>
        <w:ind w:firstLine="480"/>
        <w:rPr>
          <w:rFonts w:ascii="宋体" w:hAnsi="宋体" w:eastAsia="宋体" w:cs="宋体"/>
          <w:color w:val="auto"/>
          <w:kern w:val="0"/>
          <w:sz w:val="24"/>
        </w:rPr>
      </w:pPr>
    </w:p>
    <w:p w14:paraId="632218CF">
      <w:pPr>
        <w:widowControl/>
        <w:spacing w:line="360" w:lineRule="auto"/>
        <w:ind w:firstLine="480"/>
        <w:rPr>
          <w:rFonts w:ascii="宋体" w:hAnsi="宋体" w:eastAsia="宋体" w:cs="宋体"/>
          <w:color w:val="auto"/>
          <w:kern w:val="0"/>
          <w:sz w:val="24"/>
        </w:rPr>
      </w:pPr>
    </w:p>
    <w:p w14:paraId="7A28C8B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rPr>
        <w:br w:type="page"/>
      </w:r>
      <w:r>
        <w:rPr>
          <w:rFonts w:hint="eastAsia" w:ascii="宋体" w:hAnsi="宋体" w:eastAsia="宋体" w:cs="宋体"/>
          <w:color w:val="auto"/>
          <w:sz w:val="24"/>
          <w:szCs w:val="24"/>
        </w:rPr>
        <w:t>合同条款</w:t>
      </w:r>
    </w:p>
    <w:p w14:paraId="5467477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1．采购与供应</w:t>
      </w:r>
    </w:p>
    <w:p w14:paraId="5229705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本合同价款最终双方以实际验收的数量结算。</w:t>
      </w:r>
    </w:p>
    <w:p w14:paraId="7247040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本合同所采购与供应设备的数量为暂定量，供应商按附件1《计划采购与供应设备清单》所列品种和规格供货，最终以经采购人验收合格实际数量为准。</w:t>
      </w:r>
    </w:p>
    <w:p w14:paraId="021097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 本合同所采购与供应设备的计价、结算和支付货币均为人民币。</w:t>
      </w:r>
    </w:p>
    <w:p w14:paraId="7AD2F2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 本合同所采购与供应设备的计量单位，为中华人民共和国法定公制计量单位（除技术规范标准另有规定外）。</w:t>
      </w:r>
    </w:p>
    <w:p w14:paraId="0AA5BD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 本合同所采购与供应设备的单价，指运抵本项目现场指定地点交货综合价，包括设备费、加工费、包装费、检测费、装卸费、运输费、税金、供应商合理的利润、管理费、市场价格波动带来的风险、向有关部门缴纳的各项费用以及政策性文件所规定的各项应有费用等供应商履行本合同规定义务的全部价款与费税，除本合同第1.6条规定的因素外，不得因政府政策变动、市场环境改变、税率调整等而调整。</w:t>
      </w:r>
    </w:p>
    <w:p w14:paraId="54AEF1E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1.6本合同综合单价按下列第（1）种办法进行调整。</w:t>
      </w:r>
    </w:p>
    <w:p w14:paraId="7028F5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（1）综合单价包干，价格不可调整。</w:t>
      </w:r>
    </w:p>
    <w:p w14:paraId="0492C1F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（2）具体调价办法：</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rPr>
        <w:t xml:space="preserve">。  </w:t>
      </w:r>
    </w:p>
    <w:p w14:paraId="3F440AC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2．质量要求</w:t>
      </w:r>
    </w:p>
    <w:p w14:paraId="339BD63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供应商应在交货同时向采购人提供本合同所采购与供应设备制造商出具的书面质量保证书。</w:t>
      </w:r>
    </w:p>
    <w:p w14:paraId="311CC2C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2.2 本合同所采购与供应的设备，应符合现行中华人民共和国国家标准及行业标准，各项技术性能指标经本项目所在地具有相应检测资质的专业机构或单位检测中心检验必须符合国标要求。合同执行过程中，若出现新的国家标准，则以更新后的标准为准。</w:t>
      </w:r>
    </w:p>
    <w:p w14:paraId="349055E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供应商的设备供应与管理应符合国家有关环保法律、法规和ISO9000质量体系标准。</w:t>
      </w:r>
    </w:p>
    <w:p w14:paraId="66D2DB1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本合同所采购与供应设备的质量保证期自验收合格之日起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p>
    <w:p w14:paraId="271010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质量保证期内，供应商无条件的向采购人提供缺陷产品的免费维修、更换等服务。针对采购人提出的书面要求，供应商必须在3日内给予书面答复。如有必要，供应商在3日内指派专人到现场解决，因此产生的所有费用均由供应商承担。</w:t>
      </w:r>
    </w:p>
    <w:p w14:paraId="05F2FFA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不论任何原因，供应商借故推脱或拒绝采购人提出的维修、更换等服务请求，采购人有权自行解决，实际发生的维修或更换等费用，从应支付给供应商的货款中扣除，并保留进一步索赔的权利。维修或更换设备的质量保证期相应延长6个月。</w:t>
      </w:r>
    </w:p>
    <w:p w14:paraId="4858888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2.7质量保证期内，如因供应商产品质量导致出现项目质量问题，由此造成的一切损失由供应商承担。</w:t>
      </w:r>
    </w:p>
    <w:p w14:paraId="540500B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2.8其他质量要求：</w:t>
      </w:r>
      <w:r>
        <w:rPr>
          <w:rFonts w:hint="eastAsia" w:ascii="宋体" w:hAnsi="宋体" w:eastAsia="宋体" w:cs="宋体"/>
          <w:color w:val="auto"/>
          <w:sz w:val="24"/>
          <w:szCs w:val="24"/>
          <w:highlight w:val="none"/>
          <w:u w:val="single"/>
          <w:lang w:val="en-US" w:eastAsia="zh-CN"/>
        </w:rPr>
        <w:t xml:space="preserve"> 合格，符合国家现行标准 </w:t>
      </w:r>
      <w:r>
        <w:rPr>
          <w:rFonts w:hint="eastAsia" w:ascii="宋体" w:hAnsi="宋体" w:eastAsia="宋体" w:cs="宋体"/>
          <w:color w:val="auto"/>
          <w:sz w:val="24"/>
          <w:szCs w:val="24"/>
          <w:highlight w:val="none"/>
        </w:rPr>
        <w:t>。</w:t>
      </w:r>
    </w:p>
    <w:p w14:paraId="1ED50DC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3．供货时间及地点</w:t>
      </w:r>
    </w:p>
    <w:p w14:paraId="6EEAF8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3.1供货及通知方式：</w:t>
      </w:r>
      <w:r>
        <w:rPr>
          <w:rFonts w:hint="eastAsia" w:ascii="宋体" w:hAnsi="宋体" w:eastAsia="宋体" w:cs="宋体"/>
          <w:color w:val="auto"/>
          <w:sz w:val="24"/>
          <w:szCs w:val="24"/>
          <w:highlight w:val="none"/>
          <w:u w:val="single"/>
        </w:rPr>
        <w:t>按批次供货，时间及数量以采购人书面通知为准。在运输、装卸过程中发生的安全事故责任，供应商自行承担。</w:t>
      </w:r>
    </w:p>
    <w:p w14:paraId="4FF9B6D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3.2供货地点：供应商负责送货至项目现场卸至采购人指定的卸货地点，并承担费用。</w:t>
      </w:r>
    </w:p>
    <w:p w14:paraId="09FA65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4．验收标准、方法、地点及期限</w:t>
      </w:r>
    </w:p>
    <w:p w14:paraId="4E33F9F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4.1数量验收：甲乙双方在交货现场以过磅、点数、检尺等约定方式进行数量验收，采购人应保证设备随到随验。供应商应对在采购人现场的计量数据进行确认。</w:t>
      </w:r>
    </w:p>
    <w:p w14:paraId="26C1CC0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4.2质量验收：</w:t>
      </w:r>
    </w:p>
    <w:p w14:paraId="5D88ABC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（1）进行数量验收的同时，采购人按要求进行尺寸和外观质量验收，尺寸和外观质量符合要求方可卸车，否则不得卸车。</w:t>
      </w:r>
    </w:p>
    <w:p w14:paraId="019DC95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外观质量符合要求的，采购人及时按规定取样送本项目所在地具有相应检测资质的专业机构或单位进行检测。检测合格视为最终合格。如采购人、本项目建设单位或监督单位提出异议，参照有关标准规范，结合现场情况解决，供应商必须满足上述三方的有关质量的意见。</w:t>
      </w:r>
    </w:p>
    <w:p w14:paraId="77D3E2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（3）经双方验收合格后，由采购人开具签收单作为最终结算依据。</w:t>
      </w:r>
    </w:p>
    <w:p w14:paraId="4438B0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（4）抽检未发现不合格产品不代表供应商供应产品全部合格，如因供应商产品问题造成采购人</w:t>
      </w:r>
      <w:r>
        <w:rPr>
          <w:rFonts w:hint="eastAsia" w:ascii="宋体" w:hAnsi="宋体" w:cs="宋体"/>
          <w:color w:val="auto"/>
          <w:sz w:val="24"/>
          <w:szCs w:val="24"/>
          <w:highlight w:val="none"/>
          <w:lang w:eastAsia="zh-CN"/>
        </w:rPr>
        <w:t>交货期</w:t>
      </w:r>
      <w:r>
        <w:rPr>
          <w:rFonts w:hint="eastAsia" w:ascii="宋体" w:hAnsi="宋体" w:eastAsia="宋体" w:cs="宋体"/>
          <w:color w:val="auto"/>
          <w:sz w:val="24"/>
          <w:szCs w:val="24"/>
          <w:highlight w:val="none"/>
        </w:rPr>
        <w:t>、质量、劳务等损失，全部责任均由供应商承担。</w:t>
      </w:r>
    </w:p>
    <w:p w14:paraId="11FC090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（5）外观及检验不合格的设备，供应商应在接采购人通知后24小时内清理出项目现场，并承担本次的检测费用，造成的一切损失由供应商承担。</w:t>
      </w:r>
    </w:p>
    <w:p w14:paraId="2912B8F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（6）其他：现场现货检验，采购人如有异议3日内提出，供应商24小时内负责处理。</w:t>
      </w:r>
    </w:p>
    <w:p w14:paraId="178431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4.3标的物所有权自卸货完毕时起转移，但经验收确认为不合格的，供应商必须根据采购人要求无条件退换。</w:t>
      </w:r>
    </w:p>
    <w:p w14:paraId="1B3108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5．安全文明施工与环境保护</w:t>
      </w:r>
    </w:p>
    <w:p w14:paraId="0A2ECBF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5.1安全文明施工</w:t>
      </w:r>
    </w:p>
    <w:p w14:paraId="6AF5B25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项目安全生产的达标目标及相应事项的约定：</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04E1909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 文明施工</w:t>
      </w:r>
    </w:p>
    <w:p w14:paraId="61FFA18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 xml:space="preserve">。  </w:t>
      </w:r>
    </w:p>
    <w:p w14:paraId="2A01A0E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 供应商负责在设备供货、指导安装、调试、售后服务整个过程中现场全部人员、设备的安全。供货服务期间发生的一切安全事故，由供应商承担全部责任，并承担由此发生的一切费用。</w:t>
      </w:r>
    </w:p>
    <w:p w14:paraId="7DB33D0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不承担供应商和其单位雇佣的工人或其他人员的伤亡赔偿或补偿责任，承包方必须为现场服务人员办理危险作业意外伤害保险，费用自行承担。本项目需特殊防护的内容:针对施工现场情况及迎检等需要，应采取不同的防护措施，费用自行承担。</w:t>
      </w:r>
    </w:p>
    <w:p w14:paraId="37C20B3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6．预付款</w:t>
      </w:r>
    </w:p>
    <w:p w14:paraId="78187D8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预付款的支付时间和金额（或占合同价款的比例）：</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355D1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扣回预付款的时间、比例：</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17F19F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7．货款支付：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w:t>
      </w:r>
    </w:p>
    <w:p w14:paraId="7FBCAF8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7.2供应商按照采购人要求的时间，依据甲乙双方共同确认的结算金额和结算明细向采购人开具结算100%的增值税发票，否则采购人有权拒绝支付货款且不构成违约。</w:t>
      </w:r>
    </w:p>
    <w:p w14:paraId="2FB29A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货款支付方式可选择银行转账支票、网银转账、银行承兑汇票等常规支付方式的付款方式，具体付款方式以双方每次付款前协商确定为准。</w:t>
      </w:r>
    </w:p>
    <w:p w14:paraId="0E6FC2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7.4其他</w:t>
      </w:r>
    </w:p>
    <w:p w14:paraId="754460A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由于不可抗力等原因导致资金不到位的，致使采购人不能按合同付款，采购人不承担延期付款利息及违约金。</w:t>
      </w:r>
    </w:p>
    <w:p w14:paraId="2D85F60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若供应商不按要求开立银行账户，导致货款或项目款延期支付，采购人不承担延期付款利息及违约金，供应商不得因此停止合同的履行。</w:t>
      </w:r>
    </w:p>
    <w:p w14:paraId="289A1A5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8．合同变更</w:t>
      </w:r>
    </w:p>
    <w:p w14:paraId="7D62B89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由于项目变更，采购人向供应商提出书面合同变更，供应商应予以接受。甲乙双方共同修订的合同条款，构成本合同的有效组成部分，与本合同具有同等效力。</w:t>
      </w:r>
    </w:p>
    <w:p w14:paraId="70901BA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根据项目需要，采购人对所采购设备的数量和送货时间如有变更，及时书面通知供应商，供应商按变更后的数量和送货时间供货，新增或减少的设备价格不变。</w:t>
      </w:r>
    </w:p>
    <w:p w14:paraId="05194B3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9．双方责任</w:t>
      </w:r>
    </w:p>
    <w:p w14:paraId="06A79A6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双方指定现场收货及交货代表。</w:t>
      </w:r>
    </w:p>
    <w:p w14:paraId="0DD08C4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采购人收货代表：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EC8BE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供应商交货代表：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647B79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双方更换各自代表时，应及时通知对方，以确保设备顺利交接。</w:t>
      </w:r>
    </w:p>
    <w:p w14:paraId="0363D8D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9.2 供应商应将设备按合同约定时间运至采购人指定地点，并经采购人指定收货代表和采购人项目所属其他2人及</w:t>
      </w:r>
      <w:r>
        <w:rPr>
          <w:rFonts w:hint="eastAsia" w:ascii="宋体" w:hAnsi="宋体" w:eastAsia="宋体" w:cs="宋体"/>
          <w:color w:val="auto"/>
          <w:sz w:val="24"/>
          <w:szCs w:val="24"/>
        </w:rPr>
        <w:t>以上签字验收确认后有效。</w:t>
      </w:r>
    </w:p>
    <w:p w14:paraId="3128EC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 本合同履行过程中，如果供应商不能按时交货，应在24小时内以书面形式通报采购人，采购人视情况确定是否同意变更供货时间。如采购人不同意变更供货时间，可自行采购部分或全部设备。采购人在自行采购和接收该违约部分设备时实际发生的所有额外费用和因此给采购人造成的损失，从应支付给供应商的货款中扣除，采购人同时保留进一步索赔的权利。</w:t>
      </w:r>
    </w:p>
    <w:p w14:paraId="4ADB59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 除另有规定和协议要求外，供应商提供的全部设备须采用国家、企业、行业标准要求包装，并同时满足方便所供设备长途及短途运输的要求，并有良好的防潮、防震、防锈、防爆等措施。</w:t>
      </w:r>
    </w:p>
    <w:p w14:paraId="349562C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 装箱单应注明设备的名称、规格、型号、数量、质量、生产商、发货地、供应商、收货人、交货地、承运人等，并在显著位置标明装卸警示标志。</w:t>
      </w:r>
    </w:p>
    <w:p w14:paraId="11DCB56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 供应商应对项目现场情况和当地政府运输时限和通道限制的正常及临时规定有充分了解和理解，不应因此提出索赔、要求延长或变更</w:t>
      </w:r>
      <w:r>
        <w:rPr>
          <w:rFonts w:hint="eastAsia" w:ascii="宋体" w:hAnsi="宋体" w:cs="宋体"/>
          <w:color w:val="auto"/>
          <w:sz w:val="24"/>
          <w:szCs w:val="24"/>
          <w:lang w:eastAsia="zh-CN"/>
        </w:rPr>
        <w:t>交货期</w:t>
      </w:r>
      <w:r>
        <w:rPr>
          <w:rFonts w:hint="eastAsia" w:ascii="宋体" w:hAnsi="宋体" w:eastAsia="宋体" w:cs="宋体"/>
          <w:color w:val="auto"/>
          <w:sz w:val="24"/>
          <w:szCs w:val="24"/>
        </w:rPr>
        <w:t>限等。</w:t>
      </w:r>
    </w:p>
    <w:p w14:paraId="49984C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 供应商应提供本合同所采购与供应设备制造商的名称、法定地址、联系方法等，如果供应商是本合同所采购与供应设备生产厂商的指定代理销售单位，供应商还应向采购人提供生产厂商的销售代理委托书或其他证明文件。</w:t>
      </w:r>
    </w:p>
    <w:p w14:paraId="0B6067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9.8 供应商运抵采购人指定现场的设备，交货单据上应详细列明当次供应设备的名称、品牌、产地、生产厂家、规格型号、计量单位、单价、数量、合计金额。</w:t>
      </w:r>
    </w:p>
    <w:p w14:paraId="1C50DE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9.9 本合同所采购与供应设备在使用过程中，采购人打开包装进行质量、性能等的检验时，发现质量问题告知供应商，供应商应在三日内予以维修、更换或退货。</w:t>
      </w:r>
    </w:p>
    <w:p w14:paraId="69F3E1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9.10 供应商应向采购人提交本合同所采购与供应设备的技术文件，包括材质报告（设备质量检验报告）和生产合格检验报告，以及按照项目竣工验收规定及采购人要求，提供所有相关符合要求的资料。</w:t>
      </w:r>
    </w:p>
    <w:p w14:paraId="397C002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9.11 采购人、设计、相关内部监督单位审核供应商提交的资料仅是一般性的监督，并不减少供应商与此有关的合同责任。</w:t>
      </w:r>
    </w:p>
    <w:p w14:paraId="5C4C349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9.12 未经采购人同意，供应商不得将本合同项下的任何权利义务（包含债权、债务）转让给第三人。供应商即使向采购人发送了权利义务（包含债权、债务）转让通知书，供应商承诺该转让通知书对采购人不发生任何效力，供应商承担因其转让行为给采购人造成的一切经济损失。</w:t>
      </w:r>
    </w:p>
    <w:p w14:paraId="3F46766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9.13当一方纳税人信息等关键企业信息发生变化时，必须书面通知对方，否则应承担因此给对方造成的损失。</w:t>
      </w:r>
    </w:p>
    <w:p w14:paraId="652BAE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9.14采购人依据本合同（供应商纳税人相关信息）约定收款单位（供应商公司名称）、开户银行</w:t>
      </w:r>
      <w:r>
        <w:rPr>
          <w:rFonts w:hint="eastAsia" w:ascii="宋体" w:hAnsi="宋体" w:eastAsia="宋体" w:cs="宋体"/>
          <w:color w:val="auto"/>
          <w:sz w:val="24"/>
          <w:szCs w:val="24"/>
          <w:highlight w:val="none"/>
        </w:rPr>
        <w:t>、账号向供应商支付货款。</w:t>
      </w:r>
    </w:p>
    <w:p w14:paraId="2FF9C3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10．违约与赔偿</w:t>
      </w:r>
    </w:p>
    <w:p w14:paraId="011246F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除本合同中规定的不可抗力外，其他不论任何原因，本合同所采购与供应设备，供应商若不能按规定期限送至采购人指定现场存货地点，采购人向供应商收取500元/日历天的违约金，并有权因供应商违约终止合同。</w:t>
      </w:r>
    </w:p>
    <w:p w14:paraId="37809DC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对本合同所采购与供应的设备，采购人有权邀请当地有关质量监督管理部门进行检验，并出具检验证书，发现供应商所供设备不符合要求，采购人向供应商提出索赔，供应商应予以接受。</w:t>
      </w:r>
    </w:p>
    <w:p w14:paraId="42D89AC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本合同所采购与供应的设备，在规定质量保证期限内采购人向供应商提出索赔，供应商应按下列条款向采购人赔偿：</w:t>
      </w:r>
    </w:p>
    <w:p w14:paraId="33EC11B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（1）同意采购人拒收设备，并把被拒收设备的预付货款返还采购人。</w:t>
      </w:r>
    </w:p>
    <w:p w14:paraId="5C249F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（2）承担退货过程中发生的一切损失和费用，包括利息、银行费用、运输和保险费、检验费、仓储和装卸费以及为保管和保护退货设备所需的其它费用。</w:t>
      </w:r>
    </w:p>
    <w:p w14:paraId="45A7B8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（3）根据设备的质量缺陷和受损程度以及采购人遭受损失，经双方协商同意降低设备价格。</w:t>
      </w:r>
    </w:p>
    <w:p w14:paraId="04F663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（4）更换或修理有缺陷的设备，以达到合同约定的质量和性能，供应商承担一切费用和风险，并承担采购人因此而造成的损失。同时相应延长被更换或修理设备的质量保证期。</w:t>
      </w:r>
    </w:p>
    <w:p w14:paraId="699CD2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采购人提出索赔通知后，供应商应在28日内答复，如果在28日内未答复，视为供应商已接受该索赔，同时采购人保留进一步要求赔偿的权利。</w:t>
      </w:r>
    </w:p>
    <w:p w14:paraId="1E7944D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 供应商应按采购人要求及时提供符合本合同约定的增值税发票，供应商必须确保发票票面信息全部真实，相关设备品类、价款等内容与本合同相一致。</w:t>
      </w:r>
    </w:p>
    <w:p w14:paraId="1D3018A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因供应商开具的发票不规范、不合法等导致发票不能抵扣税款或涉嫌虚开发票引起税务问题的，供应商应向采购人重新开具发票，并向采购人承担赔偿责任，包括但不限于税款、滞纳金、罚款及相关损失等。</w:t>
      </w:r>
    </w:p>
    <w:p w14:paraId="1168D00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因供应商开具发票不及时给采购人造成无法及时认证、抵扣发票等情形的，供应商应向采购人承担赔偿责任，包括但不限于税款、滞纳金、罚款及相关损失等。</w:t>
      </w:r>
    </w:p>
    <w:p w14:paraId="7CCEE70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供应商不得擅自作废或冲红已向采购人提供的发票，否则供应商须按发票金额（含增值税）的20%向采购人支付违约金，并向采购人承担赔偿责任，包括但不限于税款、滞纳金、罚款及相关损失等。</w:t>
      </w:r>
    </w:p>
    <w:p w14:paraId="040F522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 如供应商未按采购人要求的时间内足额足量供应设备，对采购人造成影响达3天及以上，则采购人有权单方面终止合同，另选择供应商，由此造成的一切损失由供应商承担，同时采购人保留向供应商进一步索赔的权利。</w:t>
      </w:r>
    </w:p>
    <w:p w14:paraId="6B7EC3D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 未经采购人同意，如供应商单方面终止供货，除承担给采购人造成的经济损失外，还应向采购人支付未供货货款总额（含增值税）20%的违约金。</w:t>
      </w:r>
    </w:p>
    <w:p w14:paraId="7D89203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11．不可抗力</w:t>
      </w:r>
    </w:p>
    <w:p w14:paraId="5B16B8B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不可抗力系指签约双方在缔结合同时所不能预见，并且对其发生及后果无法避免和克服的事件。任何一方由于受到诸如战争、严重火灾、洪水、台风、地震等不可抗力的影响而不能执行合同时，履行合同的期限应予以延长，延长期限相当于不可抗力所影响的时间。</w:t>
      </w:r>
    </w:p>
    <w:p w14:paraId="7E09B6E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受阻方应在不可抗力事件发生后尽快用电报、传真或电传等书面形式通知对方，并于事件发生后14日内将有关当局出具的证明文件用特快专递或挂号信寄给对方审阅确认，同时，受阻方应尽可能继续履行合同义务，积极采取合理的方案履行不受不可抗力影响的其他事项。</w:t>
      </w:r>
    </w:p>
    <w:p w14:paraId="4D4F38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不可抗力事件影响持续60日以上，双方通过友好协商，在合理时间内达成进一步履行或解除合同的协议。</w:t>
      </w:r>
    </w:p>
    <w:p w14:paraId="07BF77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本条款所定义的不可抗力是指不能预见、不能避免并不能克服的客观情况，对于经营状况严重恶化、安排不周及税收政策的调整等情形，无论严重程度如何，均不理解为不可抗力。</w:t>
      </w:r>
    </w:p>
    <w:p w14:paraId="3DFBE9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12．知识产权和专利权</w:t>
      </w:r>
    </w:p>
    <w:p w14:paraId="4B71A28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涉及到知识产权（或专利权）标记的产品，供应商应提供知识产权（或专利权）及其权属的有效证明材料。供应商承诺其提供的设备不侵犯他人的知识产权（或专利权），若供应商提供设备侵犯他人知识产权（或专利权）导致他人向采购人索赔的，以及供应商违反本合同其他约定的，供应商承担由此给采购人造成的一切损失，包括但不限于采购人处理此纠纷发生的律师费、诉讼费、仲裁费、差旅费等一切损失。采购人针对上述一切损失有权从供应商结算货款中扣除或依法追索。</w:t>
      </w:r>
    </w:p>
    <w:p w14:paraId="51C1678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13．争议解决</w:t>
      </w:r>
    </w:p>
    <w:p w14:paraId="2074FB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遇争议问题双方协商解决，协商不能达成一致意见时，提交下列第2程序解决：</w:t>
      </w:r>
    </w:p>
    <w:p w14:paraId="47D6B80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（1）向采购人所在地仲裁委员会申请仲裁。</w:t>
      </w:r>
    </w:p>
    <w:p w14:paraId="787E76D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（2）向采购人所在地人民法院起诉。</w:t>
      </w:r>
    </w:p>
    <w:p w14:paraId="4C643CD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w:t>
      </w:r>
    </w:p>
    <w:p w14:paraId="0EB92B5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本合同是双方合作的法律文件，对双方具有法律约束力。本合同解除的条件：按《</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》有关条款执行。</w:t>
      </w:r>
    </w:p>
    <w:p w14:paraId="73EF23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本合同包括合同履行过程中有关确定和变更合同实质性条件的会议纪要、往来信函、资料等。</w:t>
      </w:r>
    </w:p>
    <w:p w14:paraId="290B7AD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14.3.本合同中供应商注明的电子邮箱需是有效（须保证能够正常使用），若使用电子邮件等数据电文形式的，此数据电文进入供应商提供的电子邮箱运营商服务器即视为收到。</w:t>
      </w:r>
    </w:p>
    <w:p w14:paraId="3CC0C85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供应商电子邮箱（必填）：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9AE285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14.4未尽事宜经采购人上级部门同意后，可签订补充协议，与本合同具有同等法律效力。</w:t>
      </w:r>
    </w:p>
    <w:p w14:paraId="5F1EEA1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本合同经双方签字盖章后即行生效，至双方履行完全部合同规定条款后失效。</w:t>
      </w:r>
    </w:p>
    <w:p w14:paraId="24A8A6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14.5补充条款：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453EFA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506D4FD1">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32"/>
          <w:szCs w:val="32"/>
          <w:highlight w:val="none"/>
          <w:shd w:val="clear" w:color="auto" w:fill="auto"/>
          <w:lang w:val="en-US" w:eastAsia="zh-CN"/>
        </w:rPr>
      </w:pPr>
      <w:bookmarkStart w:id="10" w:name="_Toc5758"/>
      <w:bookmarkStart w:id="11" w:name="_Toc23241"/>
      <w:r>
        <w:rPr>
          <w:rFonts w:hint="eastAsia" w:ascii="宋体" w:hAnsi="宋体" w:eastAsia="宋体" w:cs="宋体"/>
          <w:color w:val="auto"/>
          <w:sz w:val="32"/>
          <w:szCs w:val="32"/>
          <w:highlight w:val="none"/>
          <w:shd w:val="clear" w:color="auto" w:fill="auto"/>
          <w:lang w:val="en-US" w:eastAsia="zh-CN"/>
        </w:rPr>
        <w:t>第</w:t>
      </w:r>
      <w:r>
        <w:rPr>
          <w:rFonts w:hint="eastAsia" w:ascii="宋体" w:hAnsi="宋体" w:cs="宋体"/>
          <w:color w:val="auto"/>
          <w:sz w:val="32"/>
          <w:szCs w:val="32"/>
          <w:highlight w:val="none"/>
          <w:shd w:val="clear" w:color="auto" w:fill="auto"/>
          <w:lang w:val="en-US" w:eastAsia="zh-CN"/>
        </w:rPr>
        <w:t>五</w:t>
      </w:r>
      <w:r>
        <w:rPr>
          <w:rFonts w:hint="eastAsia" w:ascii="宋体" w:hAnsi="宋体" w:eastAsia="宋体" w:cs="宋体"/>
          <w:color w:val="auto"/>
          <w:sz w:val="32"/>
          <w:szCs w:val="32"/>
          <w:highlight w:val="none"/>
          <w:shd w:val="clear" w:color="auto" w:fill="auto"/>
          <w:lang w:val="en-US" w:eastAsia="zh-CN"/>
        </w:rPr>
        <w:t>部分 响应文件格式</w:t>
      </w:r>
      <w:bookmarkEnd w:id="10"/>
      <w:bookmarkEnd w:id="11"/>
    </w:p>
    <w:p w14:paraId="6D1F6F80">
      <w:pPr>
        <w:jc w:val="center"/>
        <w:rPr>
          <w:rFonts w:hint="eastAsia" w:ascii="宋体" w:hAnsi="宋体" w:eastAsia="宋体" w:cs="宋体"/>
          <w:color w:val="auto"/>
          <w:sz w:val="28"/>
          <w:szCs w:val="28"/>
          <w:highlight w:val="none"/>
          <w:u w:val="single"/>
          <w:shd w:val="clear" w:color="auto" w:fill="auto"/>
        </w:rPr>
      </w:pPr>
      <w:bookmarkStart w:id="12" w:name="_Toc2685"/>
      <w:bookmarkStart w:id="13" w:name="_Toc15409"/>
    </w:p>
    <w:p w14:paraId="487E908F">
      <w:pPr>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shd w:val="clear" w:color="auto" w:fill="auto"/>
        </w:rPr>
        <w:t>（项目名称）</w:t>
      </w:r>
    </w:p>
    <w:p w14:paraId="2854807D">
      <w:pPr>
        <w:jc w:val="center"/>
        <w:rPr>
          <w:rFonts w:hint="eastAsia" w:ascii="宋体" w:hAnsi="宋体" w:eastAsia="宋体" w:cs="宋体"/>
          <w:color w:val="auto"/>
          <w:sz w:val="20"/>
          <w:highlight w:val="none"/>
          <w:u w:val="single"/>
          <w:shd w:val="clear" w:color="auto" w:fill="auto"/>
        </w:rPr>
      </w:pPr>
      <w:r>
        <w:rPr>
          <w:rFonts w:hint="eastAsia" w:ascii="宋体" w:hAnsi="宋体" w:eastAsia="宋体" w:cs="宋体"/>
          <w:color w:val="auto"/>
          <w:sz w:val="28"/>
          <w:szCs w:val="28"/>
          <w:highlight w:val="none"/>
          <w:shd w:val="clear" w:color="auto" w:fill="auto"/>
        </w:rPr>
        <w:t xml:space="preserve"> </w:t>
      </w:r>
    </w:p>
    <w:p w14:paraId="427580C5">
      <w:pPr>
        <w:jc w:val="center"/>
        <w:rPr>
          <w:rFonts w:hint="eastAsia" w:ascii="宋体" w:hAnsi="宋体" w:eastAsia="宋体" w:cs="宋体"/>
          <w:color w:val="auto"/>
          <w:sz w:val="28"/>
          <w:szCs w:val="28"/>
          <w:highlight w:val="none"/>
          <w:u w:val="single"/>
          <w:shd w:val="clear" w:color="auto" w:fill="auto"/>
        </w:rPr>
      </w:pPr>
    </w:p>
    <w:p w14:paraId="1B3F88F7">
      <w:pPr>
        <w:jc w:val="center"/>
        <w:rPr>
          <w:rFonts w:hint="eastAsia" w:ascii="宋体" w:hAnsi="宋体" w:eastAsia="宋体" w:cs="宋体"/>
          <w:color w:val="auto"/>
          <w:sz w:val="24"/>
          <w:highlight w:val="none"/>
          <w:u w:val="single"/>
          <w:shd w:val="clear" w:color="auto" w:fill="auto"/>
        </w:rPr>
      </w:pPr>
    </w:p>
    <w:p w14:paraId="43D91568">
      <w:pPr>
        <w:jc w:val="center"/>
        <w:rPr>
          <w:rFonts w:hint="eastAsia" w:ascii="宋体" w:hAnsi="宋体" w:eastAsia="宋体" w:cs="宋体"/>
          <w:color w:val="auto"/>
          <w:sz w:val="20"/>
          <w:highlight w:val="none"/>
          <w:u w:val="single"/>
          <w:shd w:val="clear" w:color="auto" w:fill="auto"/>
        </w:rPr>
      </w:pPr>
    </w:p>
    <w:p w14:paraId="1F135A14">
      <w:pPr>
        <w:jc w:val="center"/>
        <w:rPr>
          <w:rFonts w:hint="eastAsia" w:ascii="宋体" w:hAnsi="宋体" w:eastAsia="宋体" w:cs="宋体"/>
          <w:color w:val="auto"/>
          <w:sz w:val="20"/>
          <w:highlight w:val="none"/>
          <w:u w:val="single"/>
          <w:shd w:val="clear" w:color="auto" w:fill="auto"/>
        </w:rPr>
      </w:pPr>
    </w:p>
    <w:p w14:paraId="1FB7B01D">
      <w:pPr>
        <w:rPr>
          <w:rFonts w:hint="eastAsia" w:ascii="宋体" w:hAnsi="宋体" w:eastAsia="宋体" w:cs="宋体"/>
          <w:b/>
          <w:bCs/>
          <w:color w:val="auto"/>
          <w:szCs w:val="21"/>
          <w:highlight w:val="none"/>
          <w:shd w:val="clear" w:color="auto" w:fill="auto"/>
        </w:rPr>
      </w:pPr>
    </w:p>
    <w:p w14:paraId="333174A2">
      <w:pPr>
        <w:rPr>
          <w:rFonts w:hint="eastAsia" w:ascii="宋体" w:hAnsi="宋体" w:eastAsia="宋体" w:cs="宋体"/>
          <w:b/>
          <w:bCs/>
          <w:color w:val="auto"/>
          <w:szCs w:val="21"/>
          <w:highlight w:val="none"/>
          <w:shd w:val="clear" w:color="auto" w:fill="auto"/>
        </w:rPr>
      </w:pPr>
    </w:p>
    <w:p w14:paraId="3B1A0224">
      <w:pPr>
        <w:jc w:val="center"/>
        <w:rPr>
          <w:rFonts w:hint="eastAsia" w:ascii="宋体" w:hAnsi="宋体" w:eastAsia="宋体" w:cs="宋体"/>
          <w:b/>
          <w:bCs/>
          <w:color w:val="auto"/>
          <w:sz w:val="72"/>
          <w:szCs w:val="72"/>
          <w:highlight w:val="none"/>
          <w:shd w:val="clear" w:color="auto" w:fill="auto"/>
        </w:rPr>
      </w:pPr>
      <w:r>
        <w:rPr>
          <w:rFonts w:hint="eastAsia" w:ascii="宋体" w:hAnsi="宋体" w:eastAsia="宋体" w:cs="宋体"/>
          <w:b/>
          <w:bCs/>
          <w:color w:val="auto"/>
          <w:sz w:val="72"/>
          <w:szCs w:val="72"/>
          <w:highlight w:val="none"/>
          <w:shd w:val="clear" w:color="auto" w:fill="auto"/>
          <w:lang w:eastAsia="zh-CN"/>
        </w:rPr>
        <w:t>响</w:t>
      </w:r>
      <w:r>
        <w:rPr>
          <w:rFonts w:hint="eastAsia" w:ascii="宋体" w:hAnsi="宋体" w:eastAsia="宋体" w:cs="宋体"/>
          <w:b/>
          <w:bCs/>
          <w:color w:val="auto"/>
          <w:sz w:val="72"/>
          <w:szCs w:val="72"/>
          <w:highlight w:val="none"/>
          <w:shd w:val="clear" w:color="auto" w:fill="auto"/>
        </w:rPr>
        <w:t xml:space="preserve">  </w:t>
      </w:r>
      <w:r>
        <w:rPr>
          <w:rFonts w:hint="eastAsia" w:ascii="宋体" w:hAnsi="宋体" w:eastAsia="宋体" w:cs="宋体"/>
          <w:b/>
          <w:bCs/>
          <w:color w:val="auto"/>
          <w:sz w:val="72"/>
          <w:szCs w:val="72"/>
          <w:highlight w:val="none"/>
          <w:shd w:val="clear" w:color="auto" w:fill="auto"/>
          <w:lang w:eastAsia="zh-CN"/>
        </w:rPr>
        <w:t>应</w:t>
      </w:r>
      <w:r>
        <w:rPr>
          <w:rFonts w:hint="eastAsia" w:ascii="宋体" w:hAnsi="宋体" w:eastAsia="宋体" w:cs="宋体"/>
          <w:b/>
          <w:bCs/>
          <w:color w:val="auto"/>
          <w:sz w:val="72"/>
          <w:szCs w:val="72"/>
          <w:highlight w:val="none"/>
          <w:shd w:val="clear" w:color="auto" w:fill="auto"/>
        </w:rPr>
        <w:t xml:space="preserve">  文  件</w:t>
      </w:r>
    </w:p>
    <w:p w14:paraId="4E35B1BC">
      <w:pPr>
        <w:widowControl/>
        <w:wordWrap w:val="0"/>
        <w:spacing w:before="100" w:beforeAutospacing="1" w:after="100" w:afterAutospacing="1"/>
        <w:jc w:val="center"/>
        <w:rPr>
          <w:rFonts w:hint="eastAsia" w:ascii="宋体" w:hAnsi="宋体" w:eastAsia="宋体" w:cs="宋体"/>
          <w:color w:val="auto"/>
          <w:kern w:val="0"/>
          <w:sz w:val="28"/>
          <w:szCs w:val="28"/>
          <w:highlight w:val="none"/>
          <w:shd w:val="clear" w:color="auto" w:fill="auto"/>
        </w:rPr>
      </w:pPr>
    </w:p>
    <w:p w14:paraId="19BA980A">
      <w:pPr>
        <w:widowControl/>
        <w:wordWrap w:val="0"/>
        <w:spacing w:before="100" w:beforeAutospacing="1" w:after="100" w:afterAutospacing="1"/>
        <w:jc w:val="center"/>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rPr>
        <w:t>封面格式（供参考）</w:t>
      </w:r>
    </w:p>
    <w:p w14:paraId="400FC080">
      <w:pPr>
        <w:rPr>
          <w:rFonts w:hint="eastAsia" w:ascii="宋体" w:hAnsi="宋体" w:eastAsia="宋体" w:cs="宋体"/>
          <w:color w:val="auto"/>
          <w:sz w:val="28"/>
          <w:szCs w:val="28"/>
          <w:highlight w:val="none"/>
          <w:shd w:val="clear" w:color="auto" w:fill="auto"/>
        </w:rPr>
      </w:pPr>
    </w:p>
    <w:p w14:paraId="43DF77C9">
      <w:pPr>
        <w:rPr>
          <w:rFonts w:hint="eastAsia" w:ascii="宋体" w:hAnsi="宋体" w:eastAsia="宋体" w:cs="宋体"/>
          <w:color w:val="auto"/>
          <w:sz w:val="28"/>
          <w:szCs w:val="28"/>
          <w:highlight w:val="none"/>
          <w:shd w:val="clear" w:color="auto" w:fill="auto"/>
        </w:rPr>
      </w:pPr>
    </w:p>
    <w:p w14:paraId="0D1D50FC">
      <w:pPr>
        <w:pStyle w:val="52"/>
        <w:rPr>
          <w:rFonts w:hint="eastAsia" w:ascii="宋体" w:hAnsi="宋体" w:eastAsia="宋体" w:cs="宋体"/>
          <w:color w:val="auto"/>
          <w:sz w:val="28"/>
          <w:szCs w:val="28"/>
          <w:highlight w:val="none"/>
          <w:shd w:val="clear" w:color="auto" w:fill="auto"/>
        </w:rPr>
      </w:pPr>
    </w:p>
    <w:p w14:paraId="7EB43DD6">
      <w:pPr>
        <w:rPr>
          <w:rFonts w:hint="eastAsia" w:ascii="宋体" w:hAnsi="宋体" w:eastAsia="宋体" w:cs="宋体"/>
          <w:color w:val="auto"/>
          <w:sz w:val="28"/>
          <w:szCs w:val="28"/>
          <w:highlight w:val="none"/>
          <w:shd w:val="clear" w:color="auto" w:fill="auto"/>
        </w:rPr>
      </w:pPr>
    </w:p>
    <w:p w14:paraId="45F0D692">
      <w:pPr>
        <w:ind w:firstLine="1560" w:firstLineChars="65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（盖单位章）</w:t>
      </w:r>
    </w:p>
    <w:p w14:paraId="554FE4C0">
      <w:pPr>
        <w:ind w:firstLine="1560" w:firstLineChars="650"/>
        <w:rPr>
          <w:rFonts w:hint="eastAsia" w:ascii="宋体" w:hAnsi="宋体" w:eastAsia="宋体" w:cs="宋体"/>
          <w:color w:val="auto"/>
          <w:sz w:val="24"/>
          <w:highlight w:val="none"/>
          <w:shd w:val="clear" w:color="auto" w:fill="auto"/>
        </w:rPr>
      </w:pPr>
    </w:p>
    <w:p w14:paraId="5B9CB8D4">
      <w:pPr>
        <w:ind w:firstLine="1560" w:firstLineChars="6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法定代表人或其委托代理人：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（签法人章）</w:t>
      </w:r>
    </w:p>
    <w:p w14:paraId="1DF59547">
      <w:pPr>
        <w:ind w:firstLine="1560" w:firstLineChars="650"/>
        <w:rPr>
          <w:rFonts w:hint="eastAsia" w:ascii="宋体" w:hAnsi="宋体" w:eastAsia="宋体" w:cs="宋体"/>
          <w:color w:val="auto"/>
          <w:sz w:val="24"/>
          <w:highlight w:val="none"/>
          <w:shd w:val="clear" w:color="auto" w:fill="auto"/>
        </w:rPr>
      </w:pPr>
    </w:p>
    <w:p w14:paraId="7A9C85C7">
      <w:pPr>
        <w:ind w:firstLine="1560" w:firstLineChars="650"/>
        <w:rPr>
          <w:rFonts w:hint="eastAsia" w:ascii="宋体" w:hAnsi="宋体" w:eastAsia="宋体" w:cs="宋体"/>
          <w:b/>
          <w:color w:val="auto"/>
          <w:sz w:val="30"/>
          <w:szCs w:val="30"/>
          <w:highlight w:val="none"/>
          <w:shd w:val="clear" w:color="auto" w:fill="auto"/>
        </w:rPr>
      </w:pPr>
      <w:r>
        <w:rPr>
          <w:rFonts w:hint="eastAsia" w:ascii="宋体" w:hAnsi="宋体" w:eastAsia="宋体" w:cs="宋体"/>
          <w:color w:val="auto"/>
          <w:sz w:val="24"/>
          <w:highlight w:val="none"/>
          <w:shd w:val="clear" w:color="auto" w:fill="auto"/>
        </w:rPr>
        <w:t>日  期：</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日</w:t>
      </w:r>
      <w:r>
        <w:rPr>
          <w:rFonts w:hint="eastAsia" w:ascii="宋体" w:hAnsi="宋体" w:eastAsia="宋体" w:cs="宋体"/>
          <w:b/>
          <w:color w:val="auto"/>
          <w:sz w:val="30"/>
          <w:szCs w:val="30"/>
          <w:highlight w:val="none"/>
          <w:shd w:val="clear" w:color="auto" w:fill="auto"/>
        </w:rPr>
        <w:br w:type="page"/>
      </w:r>
    </w:p>
    <w:p w14:paraId="7948C46A">
      <w:pPr>
        <w:bidi w:val="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投标函及开标一览表</w:t>
      </w:r>
    </w:p>
    <w:p w14:paraId="48923929">
      <w:pPr>
        <w:bidi w:val="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一、投标函</w:t>
      </w:r>
    </w:p>
    <w:p w14:paraId="44CD313A">
      <w:pPr>
        <w:spacing w:line="6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（采购人）</w:t>
      </w:r>
      <w:r>
        <w:rPr>
          <w:rFonts w:hint="eastAsia" w:ascii="宋体" w:hAnsi="宋体" w:eastAsia="宋体" w:cs="宋体"/>
          <w:sz w:val="24"/>
          <w:szCs w:val="24"/>
          <w:highlight w:val="none"/>
        </w:rPr>
        <w:t>：</w:t>
      </w:r>
    </w:p>
    <w:p w14:paraId="03C838B7">
      <w:pPr>
        <w:spacing w:before="60" w:after="60"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经研究，我方决定参加</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编号为</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r>
        <w:rPr>
          <w:rFonts w:hint="eastAsia" w:ascii="宋体" w:hAnsi="宋体" w:eastAsia="宋体" w:cs="宋体"/>
          <w:sz w:val="24"/>
          <w:szCs w:val="24"/>
          <w:highlight w:val="none"/>
        </w:rPr>
        <w:t>的采购项目并投标。为此，我方郑重声明以下诸点，并负法律责任。</w:t>
      </w:r>
    </w:p>
    <w:p w14:paraId="39DCC9EB">
      <w:pPr>
        <w:pStyle w:val="18"/>
        <w:spacing w:line="480" w:lineRule="exact"/>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1、我方提交的</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文件，</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文件共</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eastAsia="zh-CN"/>
        </w:rPr>
        <w:t>四</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份。</w:t>
      </w:r>
    </w:p>
    <w:p w14:paraId="132ADBBF">
      <w:pPr>
        <w:pStyle w:val="18"/>
        <w:spacing w:line="480" w:lineRule="exact"/>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2、如果我们的</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文件被接受，我们将履行</w:t>
      </w:r>
      <w:r>
        <w:rPr>
          <w:rFonts w:hint="eastAsia" w:ascii="宋体" w:hAnsi="宋体" w:eastAsia="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文件中规定的每一项要求，并按我们响应文件中的承诺按期、按质、按量提供服务。</w:t>
      </w:r>
    </w:p>
    <w:p w14:paraId="4C596DED">
      <w:pPr>
        <w:pStyle w:val="18"/>
        <w:spacing w:line="480" w:lineRule="exact"/>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3、我方愿按《中华人民共和国民法典》履行自己的全部责任。</w:t>
      </w:r>
    </w:p>
    <w:p w14:paraId="26156DD9">
      <w:pPr>
        <w:pStyle w:val="18"/>
        <w:spacing w:line="480" w:lineRule="exact"/>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4、我们同意按招标文件规定交纳投标保证金、履约保证金</w:t>
      </w:r>
      <w:r>
        <w:rPr>
          <w:rFonts w:hint="eastAsia" w:ascii="宋体" w:hAnsi="宋体" w:eastAsia="宋体" w:cs="宋体"/>
          <w:b w:val="0"/>
          <w:bCs w:val="0"/>
          <w:color w:val="auto"/>
          <w:sz w:val="24"/>
          <w:szCs w:val="24"/>
          <w:highlight w:val="none"/>
          <w:lang w:eastAsia="zh-CN"/>
        </w:rPr>
        <w:t>（如有）</w:t>
      </w:r>
      <w:r>
        <w:rPr>
          <w:rFonts w:hint="eastAsia" w:ascii="宋体" w:hAnsi="宋体" w:eastAsia="宋体" w:cs="宋体"/>
          <w:b w:val="0"/>
          <w:bCs w:val="0"/>
          <w:color w:val="auto"/>
          <w:sz w:val="24"/>
          <w:szCs w:val="24"/>
          <w:highlight w:val="none"/>
        </w:rPr>
        <w:t>，遵守贵机构有关招标的各项规定。</w:t>
      </w:r>
    </w:p>
    <w:p w14:paraId="49F19AE5">
      <w:pPr>
        <w:pStyle w:val="18"/>
        <w:spacing w:line="480" w:lineRule="exact"/>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我方若未成为</w:t>
      </w:r>
      <w:r>
        <w:rPr>
          <w:rFonts w:hint="eastAsia" w:ascii="宋体" w:hAnsi="宋体" w:eastAsia="宋体" w:cs="宋体"/>
          <w:b w:val="0"/>
          <w:bCs w:val="0"/>
          <w:color w:val="auto"/>
          <w:sz w:val="24"/>
          <w:szCs w:val="24"/>
          <w:highlight w:val="none"/>
          <w:lang w:eastAsia="zh-CN"/>
        </w:rPr>
        <w:t>成交人</w:t>
      </w:r>
      <w:r>
        <w:rPr>
          <w:rFonts w:hint="eastAsia" w:ascii="宋体" w:hAnsi="宋体" w:eastAsia="宋体" w:cs="宋体"/>
          <w:b w:val="0"/>
          <w:bCs w:val="0"/>
          <w:color w:val="auto"/>
          <w:sz w:val="24"/>
          <w:szCs w:val="24"/>
          <w:highlight w:val="none"/>
        </w:rPr>
        <w:t>，贵机构有权不做任何解释。</w:t>
      </w:r>
    </w:p>
    <w:p w14:paraId="49F9B204">
      <w:pPr>
        <w:pStyle w:val="18"/>
        <w:spacing w:line="480" w:lineRule="exact"/>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5、我方的响应文件自开标之日起有效期为90日。</w:t>
      </w:r>
    </w:p>
    <w:p w14:paraId="7616B225">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6、我公司承诺提供的所有资料完全真实，否则将承担由此引起的一切后果。</w:t>
      </w:r>
    </w:p>
    <w:p w14:paraId="6F5F3C14">
      <w:pPr>
        <w:pStyle w:val="18"/>
        <w:spacing w:line="480" w:lineRule="exact"/>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7、与本投标有关的一切正式往来通讯请寄：</w:t>
      </w:r>
    </w:p>
    <w:p w14:paraId="36886B6B">
      <w:pPr>
        <w:pStyle w:val="18"/>
        <w:spacing w:line="480" w:lineRule="exact"/>
        <w:ind w:firstLine="480"/>
        <w:jc w:val="left"/>
        <w:rPr>
          <w:rFonts w:hint="default"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rPr>
        <w:t>地    址：</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邮政编码：</w:t>
      </w:r>
      <w:r>
        <w:rPr>
          <w:rFonts w:hint="eastAsia" w:ascii="宋体" w:hAnsi="宋体" w:eastAsia="宋体" w:cs="宋体"/>
          <w:b w:val="0"/>
          <w:bCs w:val="0"/>
          <w:color w:val="auto"/>
          <w:sz w:val="24"/>
          <w:szCs w:val="24"/>
          <w:highlight w:val="none"/>
          <w:u w:val="single"/>
          <w:lang w:val="en-US" w:eastAsia="zh-CN"/>
        </w:rPr>
        <w:t xml:space="preserve">          </w:t>
      </w:r>
    </w:p>
    <w:p w14:paraId="32FCD913">
      <w:pPr>
        <w:pStyle w:val="18"/>
        <w:spacing w:line="480" w:lineRule="exact"/>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    话：</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传    真：</w:t>
      </w:r>
      <w:r>
        <w:rPr>
          <w:rFonts w:hint="eastAsia" w:ascii="宋体" w:hAnsi="宋体" w:eastAsia="宋体" w:cs="宋体"/>
          <w:b w:val="0"/>
          <w:bCs w:val="0"/>
          <w:color w:val="auto"/>
          <w:sz w:val="24"/>
          <w:szCs w:val="24"/>
          <w:highlight w:val="none"/>
          <w:u w:val="single"/>
          <w:lang w:val="en-US" w:eastAsia="zh-CN"/>
        </w:rPr>
        <w:t xml:space="preserve">          </w:t>
      </w:r>
    </w:p>
    <w:p w14:paraId="705863B4">
      <w:pPr>
        <w:pStyle w:val="18"/>
        <w:spacing w:line="480" w:lineRule="exact"/>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开户单位：</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开户银行：</w:t>
      </w:r>
      <w:r>
        <w:rPr>
          <w:rFonts w:hint="eastAsia" w:ascii="宋体" w:hAnsi="宋体" w:eastAsia="宋体" w:cs="宋体"/>
          <w:b w:val="0"/>
          <w:bCs w:val="0"/>
          <w:color w:val="auto"/>
          <w:sz w:val="24"/>
          <w:szCs w:val="24"/>
          <w:highlight w:val="none"/>
          <w:u w:val="single"/>
          <w:lang w:val="en-US" w:eastAsia="zh-CN"/>
        </w:rPr>
        <w:t xml:space="preserve">          </w:t>
      </w:r>
    </w:p>
    <w:p w14:paraId="77104124">
      <w:pPr>
        <w:pStyle w:val="18"/>
        <w:spacing w:line="480" w:lineRule="exact"/>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    号：</w:t>
      </w:r>
      <w:r>
        <w:rPr>
          <w:rFonts w:hint="eastAsia" w:ascii="宋体" w:hAnsi="宋体" w:eastAsia="宋体" w:cs="宋体"/>
          <w:b w:val="0"/>
          <w:bCs w:val="0"/>
          <w:color w:val="auto"/>
          <w:sz w:val="24"/>
          <w:szCs w:val="24"/>
          <w:highlight w:val="none"/>
          <w:u w:val="single"/>
        </w:rPr>
        <w:t xml:space="preserve">                           </w:t>
      </w:r>
    </w:p>
    <w:p w14:paraId="46BBFF57">
      <w:pPr>
        <w:pStyle w:val="18"/>
        <w:spacing w:line="480" w:lineRule="exact"/>
        <w:ind w:firstLine="48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（盖章）</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single"/>
        </w:rPr>
        <w:t xml:space="preserve">                           </w:t>
      </w:r>
    </w:p>
    <w:p w14:paraId="76C970C3">
      <w:pPr>
        <w:pStyle w:val="18"/>
        <w:spacing w:line="480" w:lineRule="exact"/>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法定代表人或授权代表签字：</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14:paraId="613464A6">
      <w:pPr>
        <w:pStyle w:val="18"/>
        <w:spacing w:line="480" w:lineRule="exact"/>
        <w:ind w:firstLine="480"/>
        <w:jc w:val="right"/>
        <w:rPr>
          <w:rFonts w:ascii="宋体" w:hAnsi="宋体" w:eastAsia="宋体" w:cs="宋体"/>
          <w:b/>
          <w:sz w:val="30"/>
          <w:szCs w:val="30"/>
          <w:highlight w:val="none"/>
        </w:rPr>
      </w:pPr>
      <w:r>
        <w:rPr>
          <w:rFonts w:hint="eastAsia" w:ascii="宋体" w:hAnsi="宋体" w:eastAsia="宋体" w:cs="宋体"/>
          <w:b w:val="0"/>
          <w:bCs w:val="0"/>
          <w:color w:val="auto"/>
          <w:sz w:val="24"/>
          <w:szCs w:val="24"/>
          <w:highlight w:val="none"/>
        </w:rPr>
        <w:t>年   月   日</w:t>
      </w:r>
    </w:p>
    <w:p w14:paraId="1E8B694D">
      <w:pPr>
        <w:rPr>
          <w:rFonts w:ascii="宋体" w:hAnsi="宋体" w:eastAsia="宋体" w:cs="宋体"/>
          <w:b/>
          <w:sz w:val="30"/>
          <w:szCs w:val="30"/>
          <w:highlight w:val="none"/>
        </w:rPr>
      </w:pPr>
    </w:p>
    <w:p w14:paraId="0FD057D7">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bCs/>
          <w:sz w:val="24"/>
          <w:szCs w:val="24"/>
          <w:highlight w:val="none"/>
          <w:lang w:eastAsia="zh-CN"/>
        </w:rPr>
        <w:br w:type="page"/>
      </w:r>
    </w:p>
    <w:p w14:paraId="4BE0165E">
      <w:pPr>
        <w:bidi w:val="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二、开标一览表</w:t>
      </w:r>
    </w:p>
    <w:p w14:paraId="56D299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（项目名称）</w:t>
      </w:r>
    </w:p>
    <w:tbl>
      <w:tblPr>
        <w:tblStyle w:val="27"/>
        <w:tblW w:w="9279"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3672"/>
        <w:gridCol w:w="4474"/>
      </w:tblGrid>
      <w:tr w14:paraId="6292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33" w:type="dxa"/>
            <w:noWrap w:val="0"/>
            <w:vAlign w:val="center"/>
          </w:tcPr>
          <w:p w14:paraId="0AE4E737">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672" w:type="dxa"/>
            <w:noWrap w:val="0"/>
            <w:vAlign w:val="center"/>
          </w:tcPr>
          <w:p w14:paraId="174D5623">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项目内容</w:t>
            </w:r>
          </w:p>
        </w:tc>
        <w:tc>
          <w:tcPr>
            <w:tcW w:w="4474" w:type="dxa"/>
            <w:noWrap w:val="0"/>
            <w:vAlign w:val="center"/>
          </w:tcPr>
          <w:p w14:paraId="79CAA78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投报内容</w:t>
            </w:r>
          </w:p>
        </w:tc>
      </w:tr>
      <w:tr w14:paraId="046B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33" w:type="dxa"/>
            <w:noWrap w:val="0"/>
            <w:vAlign w:val="center"/>
          </w:tcPr>
          <w:p w14:paraId="4839607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672" w:type="dxa"/>
            <w:noWrap w:val="0"/>
            <w:vAlign w:val="center"/>
          </w:tcPr>
          <w:p w14:paraId="3302BEB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初始总报价</w:t>
            </w:r>
          </w:p>
        </w:tc>
        <w:tc>
          <w:tcPr>
            <w:tcW w:w="4474" w:type="dxa"/>
            <w:noWrap w:val="0"/>
            <w:vAlign w:val="center"/>
          </w:tcPr>
          <w:p w14:paraId="74A1134E">
            <w:pPr>
              <w:spacing w:line="3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p>
          <w:p w14:paraId="709A8BFD">
            <w:pPr>
              <w:spacing w:line="3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w:t>
            </w:r>
          </w:p>
        </w:tc>
      </w:tr>
      <w:tr w14:paraId="2A85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33" w:type="dxa"/>
            <w:noWrap w:val="0"/>
            <w:vAlign w:val="center"/>
          </w:tcPr>
          <w:p w14:paraId="434E9BBF">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672" w:type="dxa"/>
            <w:noWrap w:val="0"/>
            <w:vAlign w:val="center"/>
          </w:tcPr>
          <w:p w14:paraId="397C20C5">
            <w:pPr>
              <w:spacing w:line="3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交货期</w:t>
            </w:r>
          </w:p>
          <w:p w14:paraId="4A377FAB">
            <w:pPr>
              <w:spacing w:line="3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文件要求）</w:t>
            </w:r>
          </w:p>
        </w:tc>
        <w:tc>
          <w:tcPr>
            <w:tcW w:w="4474" w:type="dxa"/>
            <w:noWrap w:val="0"/>
            <w:vAlign w:val="center"/>
          </w:tcPr>
          <w:p w14:paraId="6F07B000">
            <w:pPr>
              <w:spacing w:line="300" w:lineRule="exact"/>
              <w:ind w:left="-6"/>
              <w:jc w:val="center"/>
              <w:rPr>
                <w:rFonts w:hint="eastAsia" w:ascii="宋体" w:hAnsi="宋体" w:eastAsia="宋体" w:cs="宋体"/>
                <w:color w:val="auto"/>
                <w:sz w:val="24"/>
                <w:highlight w:val="none"/>
              </w:rPr>
            </w:pPr>
          </w:p>
        </w:tc>
      </w:tr>
      <w:tr w14:paraId="658F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33" w:type="dxa"/>
            <w:shd w:val="clear" w:color="auto" w:fill="auto"/>
            <w:noWrap w:val="0"/>
            <w:vAlign w:val="center"/>
          </w:tcPr>
          <w:p w14:paraId="2A2E2B33">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w:t>
            </w:r>
          </w:p>
        </w:tc>
        <w:tc>
          <w:tcPr>
            <w:tcW w:w="3672" w:type="dxa"/>
            <w:noWrap w:val="0"/>
            <w:vAlign w:val="center"/>
          </w:tcPr>
          <w:p w14:paraId="676ACA8F">
            <w:pPr>
              <w:spacing w:line="3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质保期</w:t>
            </w:r>
          </w:p>
          <w:p w14:paraId="15D814AF">
            <w:pPr>
              <w:spacing w:line="3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文件要求）</w:t>
            </w:r>
          </w:p>
        </w:tc>
        <w:tc>
          <w:tcPr>
            <w:tcW w:w="4474" w:type="dxa"/>
            <w:noWrap w:val="0"/>
            <w:vAlign w:val="center"/>
          </w:tcPr>
          <w:p w14:paraId="6802026E">
            <w:pPr>
              <w:spacing w:line="300" w:lineRule="exact"/>
              <w:ind w:left="-6"/>
              <w:jc w:val="center"/>
              <w:rPr>
                <w:rFonts w:hint="eastAsia" w:ascii="宋体" w:hAnsi="宋体" w:eastAsia="宋体" w:cs="宋体"/>
                <w:color w:val="auto"/>
                <w:sz w:val="24"/>
                <w:highlight w:val="none"/>
              </w:rPr>
            </w:pPr>
          </w:p>
        </w:tc>
      </w:tr>
      <w:tr w14:paraId="072D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33" w:type="dxa"/>
            <w:shd w:val="clear" w:color="auto" w:fill="auto"/>
            <w:noWrap w:val="0"/>
            <w:vAlign w:val="center"/>
          </w:tcPr>
          <w:p w14:paraId="0A4A6328">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4</w:t>
            </w:r>
          </w:p>
        </w:tc>
        <w:tc>
          <w:tcPr>
            <w:tcW w:w="3672" w:type="dxa"/>
            <w:noWrap w:val="0"/>
            <w:vAlign w:val="center"/>
          </w:tcPr>
          <w:p w14:paraId="5029097E">
            <w:pPr>
              <w:spacing w:line="3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p w14:paraId="494C674A">
            <w:pPr>
              <w:spacing w:line="3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文件要求）</w:t>
            </w:r>
          </w:p>
        </w:tc>
        <w:tc>
          <w:tcPr>
            <w:tcW w:w="4474" w:type="dxa"/>
            <w:noWrap w:val="0"/>
            <w:vAlign w:val="center"/>
          </w:tcPr>
          <w:p w14:paraId="76D85346">
            <w:pPr>
              <w:spacing w:line="300" w:lineRule="exact"/>
              <w:ind w:left="-6"/>
              <w:jc w:val="center"/>
              <w:rPr>
                <w:rFonts w:hint="eastAsia" w:ascii="宋体" w:hAnsi="宋体" w:eastAsia="宋体" w:cs="宋体"/>
                <w:color w:val="auto"/>
                <w:sz w:val="24"/>
                <w:highlight w:val="none"/>
              </w:rPr>
            </w:pPr>
          </w:p>
        </w:tc>
      </w:tr>
      <w:tr w14:paraId="1F90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33" w:type="dxa"/>
            <w:shd w:val="clear" w:color="auto" w:fill="auto"/>
            <w:noWrap w:val="0"/>
            <w:vAlign w:val="center"/>
          </w:tcPr>
          <w:p w14:paraId="38AF5E28">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5</w:t>
            </w:r>
          </w:p>
        </w:tc>
        <w:tc>
          <w:tcPr>
            <w:tcW w:w="3672" w:type="dxa"/>
            <w:noWrap w:val="0"/>
            <w:vAlign w:val="center"/>
          </w:tcPr>
          <w:p w14:paraId="22CF5D63">
            <w:pPr>
              <w:spacing w:line="3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逾期违约金</w:t>
            </w:r>
          </w:p>
        </w:tc>
        <w:tc>
          <w:tcPr>
            <w:tcW w:w="4474" w:type="dxa"/>
            <w:noWrap w:val="0"/>
            <w:vAlign w:val="center"/>
          </w:tcPr>
          <w:p w14:paraId="280D080C">
            <w:pPr>
              <w:spacing w:line="300" w:lineRule="exact"/>
              <w:jc w:val="center"/>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none"/>
                <w:lang w:eastAsia="zh-CN"/>
              </w:rPr>
              <w:t>元</w:t>
            </w:r>
          </w:p>
        </w:tc>
      </w:tr>
      <w:tr w14:paraId="78EF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33" w:type="dxa"/>
            <w:shd w:val="clear" w:color="auto" w:fill="auto"/>
            <w:noWrap w:val="0"/>
            <w:vAlign w:val="center"/>
          </w:tcPr>
          <w:p w14:paraId="6251D87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6</w:t>
            </w:r>
          </w:p>
        </w:tc>
        <w:tc>
          <w:tcPr>
            <w:tcW w:w="3672" w:type="dxa"/>
            <w:noWrap w:val="0"/>
            <w:vAlign w:val="center"/>
          </w:tcPr>
          <w:p w14:paraId="48DB69DE">
            <w:pPr>
              <w:spacing w:line="3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项目负责人</w:t>
            </w:r>
          </w:p>
        </w:tc>
        <w:tc>
          <w:tcPr>
            <w:tcW w:w="4474" w:type="dxa"/>
            <w:noWrap w:val="0"/>
            <w:vAlign w:val="center"/>
          </w:tcPr>
          <w:p w14:paraId="0CF67401">
            <w:pPr>
              <w:spacing w:line="300" w:lineRule="exact"/>
              <w:jc w:val="center"/>
              <w:rPr>
                <w:rFonts w:hint="eastAsia" w:ascii="宋体" w:hAnsi="宋体" w:eastAsia="宋体" w:cs="宋体"/>
                <w:color w:val="auto"/>
                <w:sz w:val="24"/>
                <w:highlight w:val="none"/>
                <w:u w:val="single"/>
              </w:rPr>
            </w:pPr>
          </w:p>
        </w:tc>
      </w:tr>
      <w:tr w14:paraId="7F75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33" w:type="dxa"/>
            <w:noWrap w:val="0"/>
            <w:vAlign w:val="center"/>
          </w:tcPr>
          <w:p w14:paraId="4788B24D">
            <w:pPr>
              <w:spacing w:line="44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3672" w:type="dxa"/>
            <w:shd w:val="clear" w:color="auto" w:fill="auto"/>
            <w:noWrap w:val="0"/>
            <w:vAlign w:val="center"/>
          </w:tcPr>
          <w:p w14:paraId="4DB05E18">
            <w:pPr>
              <w:spacing w:line="3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其他补充或优惠条件</w:t>
            </w:r>
          </w:p>
        </w:tc>
        <w:tc>
          <w:tcPr>
            <w:tcW w:w="4474" w:type="dxa"/>
            <w:shd w:val="clear" w:color="auto" w:fill="auto"/>
            <w:noWrap w:val="0"/>
            <w:vAlign w:val="center"/>
          </w:tcPr>
          <w:p w14:paraId="1905F245">
            <w:pPr>
              <w:spacing w:line="300" w:lineRule="exact"/>
              <w:jc w:val="both"/>
              <w:rPr>
                <w:rFonts w:hint="eastAsia" w:ascii="宋体" w:hAnsi="宋体" w:eastAsia="宋体" w:cs="宋体"/>
                <w:color w:val="auto"/>
                <w:kern w:val="2"/>
                <w:sz w:val="24"/>
                <w:szCs w:val="24"/>
                <w:highlight w:val="none"/>
                <w:lang w:val="en-US" w:eastAsia="zh-CN" w:bidi="ar-SA"/>
              </w:rPr>
            </w:pPr>
          </w:p>
        </w:tc>
      </w:tr>
    </w:tbl>
    <w:p w14:paraId="3BAC32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注：须将“报价一览表”填写完整后</w:t>
      </w:r>
      <w:r>
        <w:rPr>
          <w:rFonts w:hint="eastAsia" w:ascii="宋体" w:hAnsi="宋体" w:eastAsia="宋体" w:cs="宋体"/>
          <w:b/>
          <w:bCs/>
          <w:color w:val="auto"/>
          <w:kern w:val="40"/>
          <w:sz w:val="24"/>
          <w:highlight w:val="none"/>
          <w:shd w:val="pct10" w:color="auto" w:fill="FFFFFF"/>
        </w:rPr>
        <w:t>单独1份密封</w:t>
      </w:r>
      <w:r>
        <w:rPr>
          <w:rFonts w:hint="eastAsia" w:ascii="宋体" w:hAnsi="宋体" w:eastAsia="宋体" w:cs="宋体"/>
          <w:color w:val="auto"/>
          <w:sz w:val="24"/>
          <w:highlight w:val="none"/>
        </w:rPr>
        <w:t>，同时要求在响应文件中提供。</w:t>
      </w:r>
    </w:p>
    <w:p w14:paraId="3B257763">
      <w:pPr>
        <w:pStyle w:val="25"/>
        <w:adjustRightInd w:val="0"/>
        <w:snapToGrid w:val="0"/>
        <w:spacing w:line="360" w:lineRule="auto"/>
        <w:rPr>
          <w:rFonts w:hint="eastAsia" w:ascii="宋体" w:hAnsi="宋体" w:eastAsia="宋体" w:cs="宋体"/>
          <w:color w:val="auto"/>
          <w:szCs w:val="24"/>
          <w:highlight w:val="none"/>
          <w:lang w:eastAsia="zh-CN"/>
        </w:rPr>
      </w:pPr>
    </w:p>
    <w:p w14:paraId="410D9A34">
      <w:pPr>
        <w:pStyle w:val="25"/>
        <w:adjustRightInd w:val="0"/>
        <w:snapToGri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全称（盖单位公章）：</w:t>
      </w:r>
    </w:p>
    <w:p w14:paraId="5CD38893">
      <w:pPr>
        <w:pStyle w:val="25"/>
        <w:adjustRightInd w:val="0"/>
        <w:snapToGrid w:val="0"/>
        <w:spacing w:line="360" w:lineRule="auto"/>
        <w:ind w:right="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法定代表人或委托代理人（签字</w:t>
      </w:r>
      <w:r>
        <w:rPr>
          <w:rFonts w:hint="eastAsia" w:ascii="宋体" w:hAnsi="宋体" w:eastAsia="宋体" w:cs="宋体"/>
          <w:color w:val="auto"/>
          <w:szCs w:val="24"/>
          <w:highlight w:val="none"/>
          <w:lang w:eastAsia="zh-CN"/>
        </w:rPr>
        <w:t>或盖章</w:t>
      </w:r>
      <w:r>
        <w:rPr>
          <w:rFonts w:hint="eastAsia" w:ascii="宋体" w:hAnsi="宋体" w:eastAsia="宋体" w:cs="宋体"/>
          <w:color w:val="auto"/>
          <w:szCs w:val="24"/>
          <w:highlight w:val="none"/>
        </w:rPr>
        <w:t xml:space="preserve">）：                               </w:t>
      </w:r>
    </w:p>
    <w:p w14:paraId="40D79067">
      <w:pPr>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4"/>
          <w:highlight w:val="none"/>
        </w:rPr>
        <w:t>年    月    日</w:t>
      </w:r>
      <w:r>
        <w:rPr>
          <w:rFonts w:hint="eastAsia" w:ascii="宋体" w:hAnsi="宋体" w:eastAsia="宋体" w:cs="宋体"/>
          <w:color w:val="auto"/>
          <w:sz w:val="24"/>
          <w:szCs w:val="24"/>
          <w:highlight w:val="none"/>
          <w:lang w:val="en-US" w:eastAsia="zh-CN"/>
        </w:rPr>
        <w:br w:type="page"/>
      </w:r>
    </w:p>
    <w:p w14:paraId="7EAC9F51">
      <w:pPr>
        <w:bidi w:val="0"/>
        <w:jc w:val="center"/>
        <w:rPr>
          <w:rFonts w:hint="eastAsia" w:ascii="宋体" w:hAnsi="宋体" w:eastAsia="宋体" w:cs="宋体"/>
          <w:b/>
          <w:bCs/>
          <w:sz w:val="28"/>
          <w:szCs w:val="28"/>
          <w:highlight w:val="none"/>
          <w:lang w:val="en-US" w:eastAsia="zh-CN"/>
        </w:rPr>
      </w:pPr>
      <w:bookmarkStart w:id="14" w:name="_Toc11617"/>
      <w:r>
        <w:rPr>
          <w:rFonts w:hint="eastAsia" w:ascii="宋体" w:hAnsi="宋体" w:eastAsia="宋体" w:cs="宋体"/>
          <w:b/>
          <w:bCs/>
          <w:sz w:val="28"/>
          <w:szCs w:val="28"/>
          <w:highlight w:val="none"/>
          <w:lang w:val="en-US" w:eastAsia="zh-CN"/>
        </w:rPr>
        <w:t>资信标</w:t>
      </w:r>
    </w:p>
    <w:p w14:paraId="53A04F09">
      <w:pPr>
        <w:bidi w:val="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一、法定代表人（负责人）身份证明</w:t>
      </w:r>
      <w:bookmarkEnd w:id="14"/>
    </w:p>
    <w:p w14:paraId="5B2AB156">
      <w:pPr>
        <w:spacing w:line="520" w:lineRule="exact"/>
        <w:ind w:left="540" w:leftChars="257"/>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59F417DB">
      <w:pPr>
        <w:spacing w:line="520" w:lineRule="exact"/>
        <w:ind w:left="540" w:leftChars="257"/>
        <w:rPr>
          <w:rFonts w:hint="eastAsia" w:ascii="宋体" w:hAnsi="宋体" w:eastAsia="宋体" w:cs="宋体"/>
          <w:sz w:val="24"/>
          <w:highlight w:val="none"/>
        </w:rPr>
      </w:pPr>
      <w:r>
        <w:rPr>
          <w:rFonts w:hint="eastAsia" w:ascii="宋体" w:hAnsi="宋体" w:eastAsia="宋体" w:cs="宋体"/>
          <w:sz w:val="24"/>
          <w:highlight w:val="none"/>
        </w:rPr>
        <w:t>单位性质：</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461C366C">
      <w:pPr>
        <w:spacing w:line="520" w:lineRule="exact"/>
        <w:ind w:left="540" w:leftChars="257"/>
        <w:rPr>
          <w:rFonts w:hint="eastAsia" w:ascii="宋体" w:hAnsi="宋体" w:eastAsia="宋体" w:cs="宋体"/>
          <w:sz w:val="24"/>
          <w:highlight w:val="none"/>
        </w:rPr>
      </w:pPr>
      <w:r>
        <w:rPr>
          <w:rFonts w:hint="eastAsia" w:ascii="宋体" w:hAnsi="宋体" w:eastAsia="宋体" w:cs="宋体"/>
          <w:sz w:val="24"/>
          <w:highlight w:val="none"/>
        </w:rPr>
        <w:t>地址：</w:t>
      </w:r>
      <w:r>
        <w:rPr>
          <w:rFonts w:hint="eastAsia" w:ascii="宋体" w:hAnsi="宋体" w:eastAsia="宋体" w:cs="宋体"/>
          <w:sz w:val="24"/>
          <w:highlight w:val="none"/>
          <w:u w:val="single"/>
        </w:rPr>
        <w:t xml:space="preserve">                                   </w:t>
      </w:r>
    </w:p>
    <w:p w14:paraId="3BB7D2B3">
      <w:pPr>
        <w:spacing w:line="520" w:lineRule="exact"/>
        <w:ind w:left="540" w:leftChars="257"/>
        <w:rPr>
          <w:rFonts w:hint="eastAsia" w:ascii="宋体" w:hAnsi="宋体" w:eastAsia="宋体" w:cs="宋体"/>
          <w:sz w:val="24"/>
          <w:highlight w:val="none"/>
        </w:rPr>
      </w:pPr>
      <w:r>
        <w:rPr>
          <w:rFonts w:hint="eastAsia" w:ascii="宋体" w:hAnsi="宋体" w:eastAsia="宋体" w:cs="宋体"/>
          <w:sz w:val="24"/>
          <w:highlight w:val="none"/>
        </w:rPr>
        <w:t>成立时间：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02F3B30E">
      <w:pPr>
        <w:spacing w:line="520" w:lineRule="exact"/>
        <w:ind w:left="540" w:leftChars="257"/>
        <w:rPr>
          <w:rFonts w:hint="eastAsia" w:ascii="宋体" w:hAnsi="宋体" w:eastAsia="宋体" w:cs="宋体"/>
          <w:sz w:val="24"/>
          <w:highlight w:val="none"/>
        </w:rPr>
      </w:pPr>
      <w:r>
        <w:rPr>
          <w:rFonts w:hint="eastAsia" w:ascii="宋体" w:hAnsi="宋体" w:eastAsia="宋体" w:cs="宋体"/>
          <w:sz w:val="24"/>
          <w:highlight w:val="none"/>
        </w:rPr>
        <w:t>经营期限：</w:t>
      </w:r>
      <w:r>
        <w:rPr>
          <w:rFonts w:hint="eastAsia" w:ascii="宋体" w:hAnsi="宋体" w:eastAsia="宋体" w:cs="宋体"/>
          <w:sz w:val="24"/>
          <w:highlight w:val="none"/>
          <w:u w:val="single"/>
        </w:rPr>
        <w:t xml:space="preserve">                               </w:t>
      </w:r>
    </w:p>
    <w:p w14:paraId="4278A0FB">
      <w:pPr>
        <w:spacing w:line="520" w:lineRule="exact"/>
        <w:ind w:left="540" w:leftChars="257"/>
        <w:rPr>
          <w:rFonts w:hint="eastAsia"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职务：</w:t>
      </w:r>
      <w:r>
        <w:rPr>
          <w:rFonts w:hint="eastAsia" w:ascii="宋体" w:hAnsi="宋体" w:eastAsia="宋体" w:cs="宋体"/>
          <w:sz w:val="24"/>
          <w:highlight w:val="none"/>
          <w:u w:val="single"/>
        </w:rPr>
        <w:t xml:space="preserve">        </w:t>
      </w:r>
    </w:p>
    <w:p w14:paraId="7EAA2E3B">
      <w:pPr>
        <w:spacing w:line="520" w:lineRule="exact"/>
        <w:ind w:left="540" w:leftChars="257"/>
        <w:rPr>
          <w:rFonts w:hint="eastAsia"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（供应商名称）的法定代表人（负责人）。</w:t>
      </w:r>
    </w:p>
    <w:p w14:paraId="05E68265">
      <w:pPr>
        <w:spacing w:line="520" w:lineRule="exact"/>
        <w:ind w:left="540" w:leftChars="257"/>
        <w:rPr>
          <w:rFonts w:hint="eastAsia" w:ascii="宋体" w:hAnsi="宋体" w:eastAsia="宋体" w:cs="宋体"/>
          <w:sz w:val="24"/>
          <w:highlight w:val="none"/>
        </w:rPr>
      </w:pPr>
      <w:r>
        <w:rPr>
          <w:rFonts w:hint="eastAsia" w:ascii="宋体" w:hAnsi="宋体" w:eastAsia="宋体" w:cs="宋体"/>
          <w:sz w:val="24"/>
          <w:highlight w:val="none"/>
        </w:rPr>
        <w:t>特此证明。</w:t>
      </w:r>
    </w:p>
    <w:p w14:paraId="6A921857">
      <w:pPr>
        <w:spacing w:line="520" w:lineRule="exact"/>
        <w:rPr>
          <w:rFonts w:hint="eastAsia" w:ascii="宋体" w:hAnsi="宋体" w:eastAsia="宋体" w:cs="宋体"/>
          <w:sz w:val="24"/>
          <w:highlight w:val="none"/>
        </w:rPr>
      </w:pPr>
    </w:p>
    <w:p w14:paraId="3C748EC3">
      <w:pPr>
        <w:spacing w:line="520" w:lineRule="exact"/>
        <w:jc w:val="right"/>
        <w:rPr>
          <w:rFonts w:hint="eastAsia" w:ascii="宋体" w:hAnsi="宋体" w:eastAsia="宋体" w:cs="宋体"/>
          <w:highlight w:val="none"/>
        </w:rPr>
      </w:pPr>
      <w:r>
        <w:rPr>
          <w:rFonts w:hint="eastAsia" w:ascii="宋体" w:hAnsi="宋体" w:eastAsia="宋体" w:cs="宋体"/>
          <w:sz w:val="24"/>
          <w:highlight w:val="none"/>
        </w:rPr>
        <w:t xml:space="preserve">                          供应商：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（盖单位公章）</w:t>
      </w:r>
    </w:p>
    <w:p w14:paraId="2B0D4E2F">
      <w:pPr>
        <w:spacing w:line="520" w:lineRule="exact"/>
        <w:jc w:val="right"/>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26C8B780">
      <w:pPr>
        <w:pStyle w:val="3"/>
        <w:spacing w:before="0" w:after="0" w:line="600" w:lineRule="exact"/>
        <w:rPr>
          <w:rFonts w:hint="eastAsia" w:ascii="宋体" w:hAnsi="宋体" w:eastAsia="宋体" w:cs="宋体"/>
          <w:sz w:val="24"/>
          <w:highlight w:val="none"/>
        </w:rPr>
      </w:pPr>
    </w:p>
    <w:p w14:paraId="0BA3F6C4">
      <w:pPr>
        <w:rPr>
          <w:rFonts w:hint="eastAsia" w:ascii="宋体" w:hAnsi="宋体" w:eastAsia="宋体" w:cs="宋体"/>
          <w:highlight w:val="none"/>
        </w:rPr>
      </w:pPr>
    </w:p>
    <w:p w14:paraId="48903D09">
      <w:pPr>
        <w:pStyle w:val="3"/>
        <w:spacing w:before="0" w:after="0" w:line="600" w:lineRule="exact"/>
        <w:jc w:val="center"/>
        <w:rPr>
          <w:rFonts w:hint="eastAsia" w:ascii="宋体" w:hAnsi="宋体" w:eastAsia="宋体" w:cs="宋体"/>
          <w:sz w:val="24"/>
          <w:highlight w:val="none"/>
        </w:rPr>
      </w:pPr>
      <w:bookmarkStart w:id="15" w:name="_Toc664"/>
      <w:r>
        <w:rPr>
          <w:rFonts w:hint="eastAsia" w:ascii="宋体" w:hAnsi="宋体" w:eastAsia="宋体" w:cs="宋体"/>
          <w:sz w:val="24"/>
          <w:highlight w:val="none"/>
        </w:rPr>
        <w:t>附：法定代表人</w:t>
      </w:r>
      <w:r>
        <w:rPr>
          <w:rFonts w:hint="eastAsia" w:ascii="宋体" w:hAnsi="宋体" w:eastAsia="宋体" w:cs="宋体"/>
          <w:sz w:val="24"/>
          <w:szCs w:val="24"/>
          <w:highlight w:val="none"/>
        </w:rPr>
        <w:t>（负责人）</w:t>
      </w:r>
      <w:r>
        <w:rPr>
          <w:rFonts w:hint="eastAsia" w:ascii="宋体" w:hAnsi="宋体" w:eastAsia="宋体" w:cs="宋体"/>
          <w:sz w:val="24"/>
          <w:highlight w:val="none"/>
        </w:rPr>
        <w:t>身份证扫描件（须提供正面、背面双面身份证）</w:t>
      </w:r>
      <w:bookmarkEnd w:id="15"/>
    </w:p>
    <w:p w14:paraId="599ECCFE">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7A5F6AD1">
      <w:pPr>
        <w:jc w:val="center"/>
        <w:outlineLvl w:val="0"/>
        <w:rPr>
          <w:rFonts w:hint="eastAsia" w:ascii="宋体" w:hAnsi="宋体" w:eastAsia="宋体" w:cs="宋体"/>
          <w:b/>
          <w:bCs/>
          <w:sz w:val="28"/>
          <w:szCs w:val="28"/>
          <w:highlight w:val="none"/>
          <w:lang w:eastAsia="zh-CN"/>
        </w:rPr>
      </w:pPr>
      <w:bookmarkStart w:id="16" w:name="_Toc10906"/>
      <w:r>
        <w:rPr>
          <w:rFonts w:hint="eastAsia" w:ascii="宋体" w:hAnsi="宋体" w:eastAsia="宋体" w:cs="宋体"/>
          <w:b/>
          <w:bCs/>
          <w:sz w:val="28"/>
          <w:szCs w:val="28"/>
          <w:highlight w:val="none"/>
          <w:lang w:eastAsia="zh-CN"/>
        </w:rPr>
        <w:t>二、授权委托书</w:t>
      </w:r>
      <w:bookmarkEnd w:id="16"/>
    </w:p>
    <w:p w14:paraId="445ABD4D">
      <w:pPr>
        <w:spacing w:line="440" w:lineRule="exact"/>
        <w:ind w:firstLine="480" w:firstLineChars="200"/>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我</w:t>
      </w:r>
      <w:r>
        <w:rPr>
          <w:rFonts w:hint="eastAsia" w:ascii="宋体" w:hAnsi="宋体" w:eastAsia="宋体" w:cs="宋体"/>
          <w:sz w:val="24"/>
          <w:szCs w:val="21"/>
          <w:highlight w:val="none"/>
          <w:u w:val="single"/>
          <w:lang w:eastAsia="zh-CN"/>
        </w:rPr>
        <w:t xml:space="preserve">         </w:t>
      </w:r>
      <w:r>
        <w:rPr>
          <w:rFonts w:hint="eastAsia" w:ascii="宋体" w:hAnsi="宋体" w:eastAsia="宋体" w:cs="宋体"/>
          <w:sz w:val="24"/>
          <w:szCs w:val="21"/>
          <w:highlight w:val="none"/>
          <w:lang w:eastAsia="zh-CN"/>
        </w:rPr>
        <w:t>（法定代表人（负责人）名称）系</w:t>
      </w:r>
      <w:r>
        <w:rPr>
          <w:rFonts w:hint="eastAsia" w:ascii="宋体" w:hAnsi="宋体" w:eastAsia="宋体" w:cs="宋体"/>
          <w:sz w:val="24"/>
          <w:szCs w:val="21"/>
          <w:highlight w:val="none"/>
          <w:u w:val="single"/>
          <w:lang w:eastAsia="zh-CN"/>
        </w:rPr>
        <w:t xml:space="preserve">         </w:t>
      </w:r>
      <w:r>
        <w:rPr>
          <w:rFonts w:hint="eastAsia" w:ascii="宋体" w:hAnsi="宋体" w:eastAsia="宋体" w:cs="宋体"/>
          <w:sz w:val="24"/>
          <w:szCs w:val="21"/>
          <w:highlight w:val="none"/>
          <w:lang w:eastAsia="zh-CN"/>
        </w:rPr>
        <w:t>（供应商单位全称）的法定代表人（负责人），现授权委托我公司</w:t>
      </w:r>
      <w:r>
        <w:rPr>
          <w:rFonts w:hint="eastAsia" w:ascii="宋体" w:hAnsi="宋体" w:eastAsia="宋体" w:cs="宋体"/>
          <w:sz w:val="24"/>
          <w:szCs w:val="21"/>
          <w:highlight w:val="none"/>
          <w:u w:val="single"/>
          <w:lang w:eastAsia="zh-CN"/>
        </w:rPr>
        <w:t xml:space="preserve">         </w:t>
      </w:r>
      <w:r>
        <w:rPr>
          <w:rFonts w:hint="eastAsia" w:ascii="宋体" w:hAnsi="宋体" w:eastAsia="宋体" w:cs="宋体"/>
          <w:sz w:val="24"/>
          <w:szCs w:val="21"/>
          <w:highlight w:val="none"/>
          <w:lang w:eastAsia="zh-CN"/>
        </w:rPr>
        <w:t>（委托代理人姓名和职务） 为全权代表， 参加</w:t>
      </w:r>
      <w:r>
        <w:rPr>
          <w:rFonts w:hint="eastAsia" w:ascii="宋体" w:hAnsi="宋体" w:eastAsia="宋体" w:cs="宋体"/>
          <w:sz w:val="24"/>
          <w:szCs w:val="21"/>
          <w:highlight w:val="none"/>
          <w:u w:val="single"/>
          <w:lang w:eastAsia="zh-CN"/>
        </w:rPr>
        <w:t xml:space="preserve">      </w:t>
      </w:r>
      <w:r>
        <w:rPr>
          <w:rFonts w:hint="eastAsia" w:ascii="宋体" w:hAnsi="宋体" w:eastAsia="宋体" w:cs="宋体"/>
          <w:sz w:val="24"/>
          <w:szCs w:val="21"/>
          <w:highlight w:val="none"/>
          <w:lang w:eastAsia="zh-CN"/>
        </w:rPr>
        <w:t>（采购人名称）的</w:t>
      </w:r>
      <w:r>
        <w:rPr>
          <w:rFonts w:hint="eastAsia" w:ascii="宋体" w:hAnsi="宋体" w:eastAsia="宋体" w:cs="宋体"/>
          <w:sz w:val="24"/>
          <w:szCs w:val="21"/>
          <w:highlight w:val="none"/>
          <w:u w:val="single"/>
          <w:lang w:eastAsia="zh-CN"/>
        </w:rPr>
        <w:t xml:space="preserve">            </w:t>
      </w:r>
      <w:r>
        <w:rPr>
          <w:rFonts w:hint="eastAsia" w:ascii="宋体" w:hAnsi="宋体" w:eastAsia="宋体" w:cs="宋体"/>
          <w:sz w:val="24"/>
          <w:szCs w:val="21"/>
          <w:highlight w:val="none"/>
          <w:lang w:eastAsia="zh-CN"/>
        </w:rPr>
        <w:t xml:space="preserve">项目（项目名称）招投标活动，项目编号为： </w:t>
      </w:r>
      <w:r>
        <w:rPr>
          <w:rFonts w:hint="eastAsia" w:ascii="宋体" w:hAnsi="宋体" w:eastAsia="宋体" w:cs="宋体"/>
          <w:sz w:val="24"/>
          <w:szCs w:val="21"/>
          <w:highlight w:val="none"/>
          <w:u w:val="single"/>
          <w:lang w:eastAsia="zh-CN"/>
        </w:rPr>
        <w:t xml:space="preserve">          </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u w:val="single"/>
          <w:lang w:eastAsia="zh-CN"/>
        </w:rPr>
        <w:t xml:space="preserve">  </w:t>
      </w:r>
      <w:r>
        <w:rPr>
          <w:rFonts w:hint="eastAsia" w:ascii="宋体" w:hAnsi="宋体" w:eastAsia="宋体" w:cs="宋体"/>
          <w:sz w:val="24"/>
          <w:szCs w:val="21"/>
          <w:highlight w:val="none"/>
          <w:lang w:eastAsia="zh-CN"/>
        </w:rPr>
        <w:t>。该同志代表我单位全权处理本次招投标活动中与</w:t>
      </w:r>
      <w:r>
        <w:rPr>
          <w:rFonts w:hint="eastAsia" w:ascii="宋体" w:hAnsi="宋体" w:eastAsia="宋体" w:cs="宋体"/>
          <w:sz w:val="24"/>
          <w:szCs w:val="21"/>
          <w:highlight w:val="none"/>
          <w:u w:val="single"/>
          <w:lang w:eastAsia="zh-CN"/>
        </w:rPr>
        <w:t xml:space="preserve">         </w:t>
      </w:r>
      <w:r>
        <w:rPr>
          <w:rFonts w:hint="eastAsia" w:ascii="宋体" w:hAnsi="宋体" w:eastAsia="宋体" w:cs="宋体"/>
          <w:sz w:val="24"/>
          <w:szCs w:val="21"/>
          <w:highlight w:val="none"/>
          <w:lang w:eastAsia="zh-CN"/>
        </w:rPr>
        <w:t>（采购人名称）的一切事宜， 由他签字的一切文件，我公司均认可。</w:t>
      </w:r>
    </w:p>
    <w:p w14:paraId="234ABC63">
      <w:pPr>
        <w:spacing w:line="440" w:lineRule="exact"/>
        <w:ind w:firstLine="480" w:firstLineChars="200"/>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委托代理人无转让委托权，特此委托。</w:t>
      </w:r>
    </w:p>
    <w:p w14:paraId="79653090">
      <w:pPr>
        <w:spacing w:line="440" w:lineRule="exact"/>
        <w:rPr>
          <w:rFonts w:hint="eastAsia" w:ascii="宋体" w:hAnsi="宋体" w:eastAsia="宋体" w:cs="宋体"/>
          <w:sz w:val="24"/>
          <w:szCs w:val="21"/>
          <w:highlight w:val="none"/>
          <w:lang w:eastAsia="zh-CN"/>
        </w:rPr>
      </w:pPr>
    </w:p>
    <w:p w14:paraId="7F7BA0C1">
      <w:pPr>
        <w:spacing w:line="440" w:lineRule="exact"/>
        <w:ind w:firstLine="4560" w:firstLineChars="1900"/>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 xml:space="preserve">法定代表人（负责人）签字及盖章： </w:t>
      </w:r>
    </w:p>
    <w:p w14:paraId="59A51BDE">
      <w:pPr>
        <w:spacing w:line="440" w:lineRule="exact"/>
        <w:ind w:firstLine="4560" w:firstLineChars="1900"/>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供应商全称(公章)：</w:t>
      </w:r>
    </w:p>
    <w:p w14:paraId="63C7D7BD">
      <w:pPr>
        <w:spacing w:line="440" w:lineRule="exact"/>
        <w:ind w:firstLine="4560" w:firstLineChars="1900"/>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授权委托日期：</w:t>
      </w:r>
    </w:p>
    <w:p w14:paraId="222C8322">
      <w:pPr>
        <w:spacing w:line="440" w:lineRule="exact"/>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附：</w:t>
      </w:r>
    </w:p>
    <w:p w14:paraId="4E1381AC">
      <w:pPr>
        <w:spacing w:line="440" w:lineRule="exact"/>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委托代理人姓名：</w:t>
      </w:r>
    </w:p>
    <w:p w14:paraId="35B9CCD6">
      <w:pPr>
        <w:spacing w:line="440" w:lineRule="exact"/>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职务：</w:t>
      </w:r>
    </w:p>
    <w:p w14:paraId="236603B7">
      <w:pPr>
        <w:spacing w:line="440" w:lineRule="exact"/>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 xml:space="preserve">身份证号码： </w:t>
      </w:r>
    </w:p>
    <w:p w14:paraId="4A5EAC44">
      <w:pPr>
        <w:spacing w:line="440" w:lineRule="exact"/>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 xml:space="preserve">详细通讯地址： </w:t>
      </w:r>
    </w:p>
    <w:p w14:paraId="4B6D6606">
      <w:pPr>
        <w:spacing w:line="440" w:lineRule="exact"/>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 xml:space="preserve">邮政编码： </w:t>
      </w:r>
    </w:p>
    <w:p w14:paraId="7682B6EE">
      <w:pPr>
        <w:spacing w:line="440" w:lineRule="exact"/>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传真：</w:t>
      </w:r>
    </w:p>
    <w:p w14:paraId="75F86A31">
      <w:pPr>
        <w:spacing w:line="440" w:lineRule="exact"/>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电话：</w:t>
      </w:r>
    </w:p>
    <w:p w14:paraId="269189B4">
      <w:pPr>
        <w:spacing w:line="440" w:lineRule="exact"/>
        <w:rPr>
          <w:rFonts w:hint="eastAsia" w:ascii="宋体" w:hAnsi="宋体" w:eastAsia="宋体" w:cs="宋体"/>
          <w:sz w:val="24"/>
          <w:szCs w:val="21"/>
          <w:highlight w:val="none"/>
          <w:lang w:eastAsia="zh-CN"/>
        </w:rPr>
      </w:pPr>
    </w:p>
    <w:p w14:paraId="6CDBEBBA">
      <w:pPr>
        <w:spacing w:line="440" w:lineRule="exact"/>
        <w:jc w:val="center"/>
        <w:rPr>
          <w:rFonts w:hint="eastAsia" w:ascii="宋体" w:hAnsi="宋体" w:eastAsia="宋体" w:cs="宋体"/>
          <w:b/>
          <w:bCs/>
          <w:sz w:val="24"/>
          <w:szCs w:val="21"/>
          <w:highlight w:val="none"/>
          <w:lang w:eastAsia="zh-CN"/>
        </w:rPr>
      </w:pPr>
      <w:r>
        <w:rPr>
          <w:rFonts w:hint="eastAsia" w:ascii="宋体" w:hAnsi="宋体" w:eastAsia="宋体" w:cs="宋体"/>
          <w:b/>
          <w:bCs/>
          <w:sz w:val="24"/>
          <w:szCs w:val="21"/>
          <w:highlight w:val="none"/>
          <w:lang w:eastAsia="zh-CN"/>
        </w:rPr>
        <w:t>法定代表人及委托代理人身份证扫描件</w:t>
      </w:r>
    </w:p>
    <w:p w14:paraId="2E330751">
      <w:pPr>
        <w:spacing w:line="440" w:lineRule="exact"/>
        <w:jc w:val="center"/>
        <w:rPr>
          <w:rFonts w:hint="eastAsia" w:ascii="宋体" w:hAnsi="宋体" w:eastAsia="宋体" w:cs="宋体"/>
          <w:b/>
          <w:bCs/>
          <w:sz w:val="24"/>
          <w:szCs w:val="21"/>
          <w:highlight w:val="none"/>
          <w:lang w:eastAsia="zh-CN"/>
        </w:rPr>
      </w:pPr>
      <w:r>
        <w:rPr>
          <w:rFonts w:hint="eastAsia" w:ascii="宋体" w:hAnsi="宋体" w:eastAsia="宋体" w:cs="宋体"/>
          <w:b/>
          <w:bCs/>
          <w:sz w:val="24"/>
          <w:szCs w:val="21"/>
          <w:highlight w:val="none"/>
          <w:lang w:eastAsia="zh-CN"/>
        </w:rPr>
        <w:t>（第二代身份证，提供正反面）</w:t>
      </w:r>
    </w:p>
    <w:p w14:paraId="2E3DBCD8">
      <w:pPr>
        <w:spacing w:line="440" w:lineRule="exact"/>
        <w:ind w:firstLine="5520" w:firstLineChars="2300"/>
        <w:rPr>
          <w:rFonts w:hint="eastAsia" w:ascii="宋体" w:hAnsi="宋体" w:eastAsia="宋体" w:cs="宋体"/>
          <w:sz w:val="24"/>
          <w:szCs w:val="21"/>
          <w:highlight w:val="none"/>
          <w:lang w:eastAsia="zh-CN"/>
        </w:rPr>
      </w:pPr>
    </w:p>
    <w:p w14:paraId="790A6F33">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037BA088">
      <w:pPr>
        <w:jc w:val="center"/>
        <w:outlineLvl w:val="0"/>
        <w:rPr>
          <w:rFonts w:hint="eastAsia" w:ascii="宋体" w:hAnsi="宋体" w:eastAsia="宋体" w:cs="宋体"/>
          <w:b/>
          <w:bCs/>
          <w:sz w:val="28"/>
          <w:szCs w:val="28"/>
          <w:highlight w:val="none"/>
          <w:lang w:eastAsia="zh-CN"/>
        </w:rPr>
      </w:pPr>
      <w:bookmarkStart w:id="17" w:name="_Toc6034"/>
      <w:r>
        <w:rPr>
          <w:rFonts w:hint="eastAsia" w:ascii="宋体" w:hAnsi="宋体" w:eastAsia="宋体" w:cs="宋体"/>
          <w:b/>
          <w:bCs/>
          <w:sz w:val="28"/>
          <w:szCs w:val="28"/>
          <w:highlight w:val="none"/>
          <w:lang w:eastAsia="zh-CN"/>
        </w:rPr>
        <w:t>三</w:t>
      </w:r>
      <w:bookmarkEnd w:id="17"/>
      <w:r>
        <w:rPr>
          <w:rFonts w:hint="eastAsia" w:ascii="宋体" w:hAnsi="宋体" w:eastAsia="宋体" w:cs="宋体"/>
          <w:b/>
          <w:bCs/>
          <w:sz w:val="28"/>
          <w:szCs w:val="28"/>
          <w:highlight w:val="none"/>
          <w:lang w:eastAsia="zh-CN"/>
        </w:rPr>
        <w:t>、资格审查资料</w:t>
      </w:r>
    </w:p>
    <w:p w14:paraId="43231503">
      <w:pPr>
        <w:jc w:val="center"/>
        <w:outlineLvl w:val="0"/>
        <w:rPr>
          <w:rFonts w:hint="eastAsia" w:ascii="宋体" w:hAnsi="宋体" w:eastAsia="宋体" w:cs="宋体"/>
          <w:b/>
          <w:bCs/>
          <w:sz w:val="28"/>
          <w:szCs w:val="28"/>
          <w:highlight w:val="none"/>
          <w:lang w:eastAsia="zh-CN"/>
        </w:rPr>
      </w:pPr>
      <w:bookmarkStart w:id="18" w:name="_Toc32525"/>
      <w:r>
        <w:rPr>
          <w:rFonts w:hint="eastAsia" w:ascii="宋体" w:hAnsi="宋体" w:eastAsia="宋体" w:cs="宋体"/>
          <w:b/>
          <w:bCs/>
          <w:sz w:val="28"/>
          <w:szCs w:val="28"/>
          <w:highlight w:val="none"/>
          <w:lang w:eastAsia="zh-CN"/>
        </w:rPr>
        <w:t>（一）供应商基本情况表</w:t>
      </w:r>
    </w:p>
    <w:tbl>
      <w:tblPr>
        <w:tblStyle w:val="2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059"/>
        <w:gridCol w:w="908"/>
        <w:gridCol w:w="1018"/>
        <w:gridCol w:w="290"/>
        <w:gridCol w:w="199"/>
        <w:gridCol w:w="1278"/>
        <w:gridCol w:w="267"/>
        <w:gridCol w:w="727"/>
        <w:gridCol w:w="1451"/>
      </w:tblGrid>
      <w:tr w14:paraId="2AD2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3" w:type="dxa"/>
            <w:vAlign w:val="center"/>
          </w:tcPr>
          <w:p w14:paraId="3288DB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7197" w:type="dxa"/>
            <w:gridSpan w:val="9"/>
            <w:vAlign w:val="center"/>
          </w:tcPr>
          <w:p w14:paraId="2F3F95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0AD7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3" w:type="dxa"/>
            <w:vAlign w:val="center"/>
          </w:tcPr>
          <w:p w14:paraId="671247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注册地址</w:t>
            </w:r>
          </w:p>
        </w:tc>
        <w:tc>
          <w:tcPr>
            <w:tcW w:w="3474" w:type="dxa"/>
            <w:gridSpan w:val="5"/>
            <w:vAlign w:val="center"/>
          </w:tcPr>
          <w:p w14:paraId="72E58C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78" w:type="dxa"/>
            <w:vAlign w:val="center"/>
          </w:tcPr>
          <w:p w14:paraId="3EF003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2445" w:type="dxa"/>
            <w:gridSpan w:val="3"/>
            <w:vAlign w:val="center"/>
          </w:tcPr>
          <w:p w14:paraId="26A204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40A1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3" w:type="dxa"/>
            <w:vMerge w:val="restart"/>
            <w:vAlign w:val="center"/>
          </w:tcPr>
          <w:p w14:paraId="19732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联系方式</w:t>
            </w:r>
          </w:p>
        </w:tc>
        <w:tc>
          <w:tcPr>
            <w:tcW w:w="1059" w:type="dxa"/>
            <w:vAlign w:val="center"/>
          </w:tcPr>
          <w:p w14:paraId="72334B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联系人</w:t>
            </w:r>
          </w:p>
        </w:tc>
        <w:tc>
          <w:tcPr>
            <w:tcW w:w="2415" w:type="dxa"/>
            <w:gridSpan w:val="4"/>
            <w:vAlign w:val="center"/>
          </w:tcPr>
          <w:p w14:paraId="7841EB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78" w:type="dxa"/>
            <w:vAlign w:val="center"/>
          </w:tcPr>
          <w:p w14:paraId="672C5E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  话</w:t>
            </w:r>
          </w:p>
        </w:tc>
        <w:tc>
          <w:tcPr>
            <w:tcW w:w="2445" w:type="dxa"/>
            <w:gridSpan w:val="3"/>
            <w:vAlign w:val="center"/>
          </w:tcPr>
          <w:p w14:paraId="1543C2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58C9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3" w:type="dxa"/>
            <w:vMerge w:val="continue"/>
            <w:vAlign w:val="center"/>
          </w:tcPr>
          <w:p w14:paraId="400C8E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059" w:type="dxa"/>
            <w:vAlign w:val="center"/>
          </w:tcPr>
          <w:p w14:paraId="782CF3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传真</w:t>
            </w:r>
          </w:p>
        </w:tc>
        <w:tc>
          <w:tcPr>
            <w:tcW w:w="2415" w:type="dxa"/>
            <w:gridSpan w:val="4"/>
            <w:vAlign w:val="center"/>
          </w:tcPr>
          <w:p w14:paraId="329B09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78" w:type="dxa"/>
            <w:vAlign w:val="center"/>
          </w:tcPr>
          <w:p w14:paraId="7E6200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网  址</w:t>
            </w:r>
          </w:p>
        </w:tc>
        <w:tc>
          <w:tcPr>
            <w:tcW w:w="2445" w:type="dxa"/>
            <w:gridSpan w:val="3"/>
            <w:vAlign w:val="center"/>
          </w:tcPr>
          <w:p w14:paraId="37E44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5083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3" w:type="dxa"/>
            <w:vAlign w:val="center"/>
          </w:tcPr>
          <w:p w14:paraId="2F4D30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组织结构</w:t>
            </w:r>
          </w:p>
        </w:tc>
        <w:tc>
          <w:tcPr>
            <w:tcW w:w="7197" w:type="dxa"/>
            <w:gridSpan w:val="9"/>
            <w:vAlign w:val="center"/>
          </w:tcPr>
          <w:p w14:paraId="77D1D6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6A99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3" w:type="dxa"/>
            <w:vAlign w:val="center"/>
          </w:tcPr>
          <w:p w14:paraId="36C566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tc>
        <w:tc>
          <w:tcPr>
            <w:tcW w:w="1059" w:type="dxa"/>
            <w:vAlign w:val="center"/>
          </w:tcPr>
          <w:p w14:paraId="2E6742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908" w:type="dxa"/>
            <w:vAlign w:val="center"/>
          </w:tcPr>
          <w:p w14:paraId="36E7B5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08" w:type="dxa"/>
            <w:gridSpan w:val="2"/>
            <w:vAlign w:val="center"/>
          </w:tcPr>
          <w:p w14:paraId="63E64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技术职称</w:t>
            </w:r>
          </w:p>
        </w:tc>
        <w:tc>
          <w:tcPr>
            <w:tcW w:w="1744" w:type="dxa"/>
            <w:gridSpan w:val="3"/>
            <w:vAlign w:val="center"/>
          </w:tcPr>
          <w:p w14:paraId="6F500F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27" w:type="dxa"/>
            <w:vAlign w:val="center"/>
          </w:tcPr>
          <w:p w14:paraId="3B2DC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电话</w:t>
            </w:r>
          </w:p>
        </w:tc>
        <w:tc>
          <w:tcPr>
            <w:tcW w:w="1451" w:type="dxa"/>
            <w:vAlign w:val="center"/>
          </w:tcPr>
          <w:p w14:paraId="34012A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3407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3" w:type="dxa"/>
            <w:vAlign w:val="center"/>
          </w:tcPr>
          <w:p w14:paraId="26A534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技术负责人</w:t>
            </w:r>
          </w:p>
        </w:tc>
        <w:tc>
          <w:tcPr>
            <w:tcW w:w="1059" w:type="dxa"/>
            <w:vAlign w:val="center"/>
          </w:tcPr>
          <w:p w14:paraId="776D99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908" w:type="dxa"/>
            <w:vAlign w:val="center"/>
          </w:tcPr>
          <w:p w14:paraId="0D26B6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08" w:type="dxa"/>
            <w:gridSpan w:val="2"/>
            <w:vAlign w:val="center"/>
          </w:tcPr>
          <w:p w14:paraId="0F616A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技术职称</w:t>
            </w:r>
          </w:p>
        </w:tc>
        <w:tc>
          <w:tcPr>
            <w:tcW w:w="1744" w:type="dxa"/>
            <w:gridSpan w:val="3"/>
            <w:vAlign w:val="center"/>
          </w:tcPr>
          <w:p w14:paraId="7F9E50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27" w:type="dxa"/>
            <w:vAlign w:val="center"/>
          </w:tcPr>
          <w:p w14:paraId="031173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电话</w:t>
            </w:r>
          </w:p>
        </w:tc>
        <w:tc>
          <w:tcPr>
            <w:tcW w:w="1451" w:type="dxa"/>
            <w:vAlign w:val="center"/>
          </w:tcPr>
          <w:p w14:paraId="180A63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067C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3" w:type="dxa"/>
            <w:vAlign w:val="center"/>
          </w:tcPr>
          <w:p w14:paraId="1D59EE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成立时间</w:t>
            </w:r>
          </w:p>
        </w:tc>
        <w:tc>
          <w:tcPr>
            <w:tcW w:w="1967" w:type="dxa"/>
            <w:gridSpan w:val="2"/>
            <w:vAlign w:val="center"/>
          </w:tcPr>
          <w:p w14:paraId="6974A5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5230" w:type="dxa"/>
            <w:gridSpan w:val="7"/>
            <w:vAlign w:val="center"/>
          </w:tcPr>
          <w:p w14:paraId="5A5B18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员工总人数</w:t>
            </w:r>
            <w:r>
              <w:rPr>
                <w:rFonts w:hint="eastAsia" w:ascii="宋体" w:hAnsi="宋体" w:eastAsia="宋体" w:cs="宋体"/>
                <w:sz w:val="24"/>
                <w:szCs w:val="24"/>
                <w:lang w:eastAsia="zh-CN"/>
              </w:rPr>
              <w:t>：</w:t>
            </w:r>
          </w:p>
        </w:tc>
      </w:tr>
      <w:tr w14:paraId="6452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3" w:type="dxa"/>
            <w:vAlign w:val="center"/>
          </w:tcPr>
          <w:p w14:paraId="7BA0D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企业资质等级</w:t>
            </w:r>
          </w:p>
        </w:tc>
        <w:tc>
          <w:tcPr>
            <w:tcW w:w="1967" w:type="dxa"/>
            <w:gridSpan w:val="2"/>
            <w:vAlign w:val="center"/>
          </w:tcPr>
          <w:p w14:paraId="434D82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018" w:type="dxa"/>
            <w:vMerge w:val="restart"/>
            <w:vAlign w:val="center"/>
          </w:tcPr>
          <w:p w14:paraId="66595E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其中</w:t>
            </w:r>
          </w:p>
        </w:tc>
        <w:tc>
          <w:tcPr>
            <w:tcW w:w="2034" w:type="dxa"/>
            <w:gridSpan w:val="4"/>
            <w:vAlign w:val="center"/>
          </w:tcPr>
          <w:p w14:paraId="057E35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项目经理</w:t>
            </w:r>
          </w:p>
        </w:tc>
        <w:tc>
          <w:tcPr>
            <w:tcW w:w="2178" w:type="dxa"/>
            <w:gridSpan w:val="2"/>
            <w:vAlign w:val="center"/>
          </w:tcPr>
          <w:p w14:paraId="1B108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3555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3" w:type="dxa"/>
            <w:vAlign w:val="center"/>
          </w:tcPr>
          <w:p w14:paraId="57DEEA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营业执照号</w:t>
            </w:r>
          </w:p>
        </w:tc>
        <w:tc>
          <w:tcPr>
            <w:tcW w:w="1967" w:type="dxa"/>
            <w:gridSpan w:val="2"/>
            <w:vAlign w:val="center"/>
          </w:tcPr>
          <w:p w14:paraId="41BD63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018" w:type="dxa"/>
            <w:vMerge w:val="continue"/>
            <w:vAlign w:val="center"/>
          </w:tcPr>
          <w:p w14:paraId="108E31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2034" w:type="dxa"/>
            <w:gridSpan w:val="4"/>
            <w:vAlign w:val="center"/>
          </w:tcPr>
          <w:p w14:paraId="6FEA23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高级职称人员</w:t>
            </w:r>
          </w:p>
        </w:tc>
        <w:tc>
          <w:tcPr>
            <w:tcW w:w="2178" w:type="dxa"/>
            <w:gridSpan w:val="2"/>
            <w:vAlign w:val="center"/>
          </w:tcPr>
          <w:p w14:paraId="636AF7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6F65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3" w:type="dxa"/>
            <w:vAlign w:val="center"/>
          </w:tcPr>
          <w:p w14:paraId="576828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注册资金</w:t>
            </w:r>
          </w:p>
        </w:tc>
        <w:tc>
          <w:tcPr>
            <w:tcW w:w="1967" w:type="dxa"/>
            <w:gridSpan w:val="2"/>
            <w:vAlign w:val="center"/>
          </w:tcPr>
          <w:p w14:paraId="2EA26C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018" w:type="dxa"/>
            <w:vMerge w:val="continue"/>
            <w:vAlign w:val="center"/>
          </w:tcPr>
          <w:p w14:paraId="079841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2034" w:type="dxa"/>
            <w:gridSpan w:val="4"/>
            <w:vAlign w:val="center"/>
          </w:tcPr>
          <w:p w14:paraId="4E949B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中级职称人员</w:t>
            </w:r>
          </w:p>
        </w:tc>
        <w:tc>
          <w:tcPr>
            <w:tcW w:w="2178" w:type="dxa"/>
            <w:gridSpan w:val="2"/>
            <w:vAlign w:val="center"/>
          </w:tcPr>
          <w:p w14:paraId="53BC7F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0FD8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3" w:type="dxa"/>
            <w:vAlign w:val="center"/>
          </w:tcPr>
          <w:p w14:paraId="3E32DE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967" w:type="dxa"/>
            <w:gridSpan w:val="2"/>
            <w:vAlign w:val="center"/>
          </w:tcPr>
          <w:p w14:paraId="264542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018" w:type="dxa"/>
            <w:vMerge w:val="continue"/>
            <w:vAlign w:val="center"/>
          </w:tcPr>
          <w:p w14:paraId="202146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2034" w:type="dxa"/>
            <w:gridSpan w:val="4"/>
            <w:vAlign w:val="center"/>
          </w:tcPr>
          <w:p w14:paraId="1E11D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初级职称人员</w:t>
            </w:r>
          </w:p>
        </w:tc>
        <w:tc>
          <w:tcPr>
            <w:tcW w:w="2178" w:type="dxa"/>
            <w:gridSpan w:val="2"/>
            <w:vAlign w:val="center"/>
          </w:tcPr>
          <w:p w14:paraId="7E56EB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1913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3" w:type="dxa"/>
            <w:vAlign w:val="center"/>
          </w:tcPr>
          <w:p w14:paraId="178788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账号</w:t>
            </w:r>
          </w:p>
        </w:tc>
        <w:tc>
          <w:tcPr>
            <w:tcW w:w="1967" w:type="dxa"/>
            <w:gridSpan w:val="2"/>
            <w:vAlign w:val="center"/>
          </w:tcPr>
          <w:p w14:paraId="71413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018" w:type="dxa"/>
            <w:vMerge w:val="continue"/>
            <w:vAlign w:val="center"/>
          </w:tcPr>
          <w:p w14:paraId="233154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2034" w:type="dxa"/>
            <w:gridSpan w:val="4"/>
            <w:vAlign w:val="center"/>
          </w:tcPr>
          <w:p w14:paraId="7ACCBE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  工</w:t>
            </w:r>
          </w:p>
        </w:tc>
        <w:tc>
          <w:tcPr>
            <w:tcW w:w="2178" w:type="dxa"/>
            <w:gridSpan w:val="2"/>
            <w:vAlign w:val="center"/>
          </w:tcPr>
          <w:p w14:paraId="7411DA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7C29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523" w:type="dxa"/>
            <w:vAlign w:val="center"/>
          </w:tcPr>
          <w:p w14:paraId="6326B8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经营范围</w:t>
            </w:r>
          </w:p>
        </w:tc>
        <w:tc>
          <w:tcPr>
            <w:tcW w:w="7197" w:type="dxa"/>
            <w:gridSpan w:val="9"/>
            <w:vAlign w:val="center"/>
          </w:tcPr>
          <w:p w14:paraId="65E5D4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3C0B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3" w:type="dxa"/>
            <w:vAlign w:val="center"/>
          </w:tcPr>
          <w:p w14:paraId="40C495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7197" w:type="dxa"/>
            <w:gridSpan w:val="9"/>
            <w:vAlign w:val="center"/>
          </w:tcPr>
          <w:p w14:paraId="3BDDBF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bl>
    <w:p w14:paraId="4E86B116">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1"/>
          <w:highlight w:val="none"/>
          <w:lang w:val="en-US" w:eastAsia="zh-CN"/>
        </w:rPr>
        <w:t>后附营业执照等材料扫描件</w:t>
      </w:r>
      <w:r>
        <w:rPr>
          <w:rFonts w:hint="eastAsia" w:ascii="宋体" w:hAnsi="宋体" w:eastAsia="宋体" w:cs="宋体"/>
          <w:b w:val="0"/>
          <w:bCs w:val="0"/>
          <w:sz w:val="24"/>
          <w:szCs w:val="24"/>
          <w:highlight w:val="none"/>
          <w:lang w:val="en-US" w:eastAsia="zh-CN"/>
        </w:rPr>
        <w:br w:type="page"/>
      </w:r>
    </w:p>
    <w:p w14:paraId="5F7F70B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（二）近年财务状况表</w:t>
      </w:r>
    </w:p>
    <w:p w14:paraId="4E78702E">
      <w:pPr>
        <w:pStyle w:val="59"/>
        <w:keepNext w:val="0"/>
        <w:keepLines w:val="0"/>
        <w:pageBreakBefore w:val="0"/>
        <w:kinsoku/>
        <w:wordWrap/>
        <w:overflowPunct/>
        <w:topLinePunct w:val="0"/>
        <w:bidi w:val="0"/>
        <w:adjustRightInd/>
        <w:snapToGrid/>
        <w:spacing w:line="360" w:lineRule="auto"/>
        <w:ind w:firstLine="480" w:firstLineChars="20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附证明材料（具体以须知表及评分办法要求为准）</w:t>
      </w:r>
    </w:p>
    <w:p w14:paraId="368AB5F6">
      <w:pPr>
        <w:pStyle w:val="69"/>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p w14:paraId="026A6C5E">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lang w:eastAsia="zh-CN"/>
        </w:rPr>
      </w:pPr>
    </w:p>
    <w:p w14:paraId="6CDC51F4">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lang w:eastAsia="zh-CN"/>
        </w:rPr>
      </w:pPr>
    </w:p>
    <w:p w14:paraId="4964459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（三）</w:t>
      </w:r>
      <w:r>
        <w:rPr>
          <w:rFonts w:hint="eastAsia" w:ascii="宋体" w:hAnsi="宋体" w:eastAsia="宋体" w:cs="宋体"/>
          <w:b/>
          <w:sz w:val="28"/>
          <w:szCs w:val="28"/>
          <w:highlight w:val="none"/>
          <w:lang w:val="zh-CN" w:eastAsia="zh-CN"/>
        </w:rPr>
        <w:t>依法缴纳税收的证明。</w:t>
      </w:r>
    </w:p>
    <w:p w14:paraId="344395BD">
      <w:pPr>
        <w:pStyle w:val="59"/>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附证明材料（具体以须知表及评分办法要求为准）</w:t>
      </w:r>
    </w:p>
    <w:p w14:paraId="5279EA43">
      <w:pPr>
        <w:pStyle w:val="59"/>
        <w:keepNext w:val="0"/>
        <w:keepLines w:val="0"/>
        <w:pageBreakBefore w:val="0"/>
        <w:kinsoku/>
        <w:wordWrap/>
        <w:overflowPunct/>
        <w:topLinePunct w:val="0"/>
        <w:bidi w:val="0"/>
        <w:adjustRightInd/>
        <w:snapToGrid/>
        <w:spacing w:line="360" w:lineRule="auto"/>
        <w:ind w:firstLine="480" w:firstLineChars="200"/>
        <w:jc w:val="center"/>
        <w:textAlignment w:val="auto"/>
        <w:rPr>
          <w:rFonts w:hint="eastAsia" w:ascii="宋体" w:hAnsi="宋体" w:eastAsia="宋体" w:cs="宋体"/>
          <w:color w:val="auto"/>
          <w:highlight w:val="none"/>
          <w:lang w:eastAsia="zh-CN"/>
        </w:rPr>
      </w:pPr>
      <w:bookmarkStart w:id="19" w:name="_Toc7232"/>
      <w:bookmarkStart w:id="20" w:name="_Toc14956"/>
    </w:p>
    <w:p w14:paraId="4A4D4AF0">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lang w:eastAsia="zh-CN"/>
        </w:rPr>
      </w:pPr>
    </w:p>
    <w:p w14:paraId="5C85A9EF">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lang w:eastAsia="zh-CN"/>
        </w:rPr>
      </w:pPr>
    </w:p>
    <w:p w14:paraId="7A2F535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（四）</w:t>
      </w:r>
      <w:r>
        <w:rPr>
          <w:rFonts w:hint="eastAsia" w:ascii="宋体" w:hAnsi="宋体" w:eastAsia="宋体" w:cs="宋体"/>
          <w:b/>
          <w:sz w:val="28"/>
          <w:szCs w:val="28"/>
          <w:highlight w:val="none"/>
          <w:lang w:val="zh-CN" w:eastAsia="zh-CN"/>
        </w:rPr>
        <w:t>提供依法缴纳社会保险的证明</w:t>
      </w:r>
    </w:p>
    <w:p w14:paraId="2E03500F">
      <w:pPr>
        <w:pStyle w:val="69"/>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附证明材料（具体以须知表及评分办法要求为准）</w:t>
      </w:r>
    </w:p>
    <w:bookmarkEnd w:id="19"/>
    <w:bookmarkEnd w:id="20"/>
    <w:p w14:paraId="4B9F4A70">
      <w:pPr>
        <w:rPr>
          <w:rFonts w:hint="eastAsia" w:ascii="宋体" w:hAnsi="宋体" w:eastAsia="宋体" w:cs="宋体"/>
          <w:b/>
          <w:bCs/>
          <w:sz w:val="28"/>
          <w:szCs w:val="28"/>
        </w:rPr>
      </w:pPr>
      <w:r>
        <w:rPr>
          <w:rFonts w:hint="eastAsia" w:ascii="宋体" w:hAnsi="宋体" w:eastAsia="宋体" w:cs="宋体"/>
          <w:b/>
          <w:bCs/>
          <w:sz w:val="28"/>
          <w:szCs w:val="28"/>
        </w:rPr>
        <w:br w:type="page"/>
      </w:r>
    </w:p>
    <w:p w14:paraId="6548216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zh-CN" w:eastAsia="zh-CN"/>
        </w:rPr>
      </w:pPr>
      <w:r>
        <w:rPr>
          <w:rFonts w:hint="eastAsia" w:ascii="宋体" w:hAnsi="宋体" w:eastAsia="宋体" w:cs="宋体"/>
          <w:b/>
          <w:sz w:val="28"/>
          <w:szCs w:val="28"/>
          <w:highlight w:val="none"/>
          <w:lang w:val="zh-CN" w:eastAsia="zh-CN"/>
        </w:rPr>
        <w:t>（五）具备履行合同所必需的设备和专业技术能力的证明材料</w:t>
      </w:r>
    </w:p>
    <w:p w14:paraId="3DCDFF6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zh-CN" w:eastAsia="zh-CN"/>
        </w:rPr>
      </w:pPr>
      <w:r>
        <w:rPr>
          <w:rFonts w:hint="eastAsia" w:ascii="宋体" w:hAnsi="宋体" w:eastAsia="宋体" w:cs="宋体"/>
          <w:b/>
          <w:sz w:val="28"/>
          <w:szCs w:val="28"/>
          <w:highlight w:val="none"/>
          <w:lang w:val="zh-CN" w:eastAsia="zh-CN"/>
        </w:rPr>
        <w:t>履行合同的设备技术能力证明表</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1"/>
        <w:gridCol w:w="1235"/>
        <w:gridCol w:w="1235"/>
        <w:gridCol w:w="2006"/>
        <w:gridCol w:w="1386"/>
        <w:gridCol w:w="1241"/>
        <w:gridCol w:w="770"/>
        <w:gridCol w:w="928"/>
      </w:tblGrid>
      <w:tr w14:paraId="72A69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2006" w:type="dxa"/>
            <w:gridSpan w:val="2"/>
            <w:tcBorders>
              <w:top w:val="single" w:color="auto" w:sz="2" w:space="0"/>
            </w:tcBorders>
            <w:vAlign w:val="center"/>
          </w:tcPr>
          <w:p w14:paraId="2075065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p>
          <w:p w14:paraId="4862112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（盖公章）</w:t>
            </w:r>
          </w:p>
        </w:tc>
        <w:tc>
          <w:tcPr>
            <w:tcW w:w="7566" w:type="dxa"/>
            <w:gridSpan w:val="6"/>
            <w:tcBorders>
              <w:top w:val="single" w:color="auto" w:sz="2" w:space="0"/>
            </w:tcBorders>
            <w:vAlign w:val="center"/>
          </w:tcPr>
          <w:p w14:paraId="276ECE07">
            <w:pPr>
              <w:ind w:left="5992"/>
              <w:rPr>
                <w:rFonts w:hint="eastAsia" w:ascii="宋体" w:hAnsi="宋体" w:eastAsia="宋体" w:cs="宋体"/>
                <w:sz w:val="24"/>
                <w:szCs w:val="24"/>
                <w:highlight w:val="none"/>
              </w:rPr>
            </w:pPr>
          </w:p>
        </w:tc>
      </w:tr>
      <w:tr w14:paraId="62EFD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2006" w:type="dxa"/>
            <w:gridSpan w:val="2"/>
            <w:vAlign w:val="center"/>
          </w:tcPr>
          <w:p w14:paraId="60ECCA0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技术人员数量</w:t>
            </w:r>
          </w:p>
        </w:tc>
        <w:tc>
          <w:tcPr>
            <w:tcW w:w="1235" w:type="dxa"/>
            <w:vAlign w:val="center"/>
          </w:tcPr>
          <w:p w14:paraId="3A095860">
            <w:pPr>
              <w:rPr>
                <w:rFonts w:hint="eastAsia" w:ascii="宋体" w:hAnsi="宋体" w:eastAsia="宋体" w:cs="宋体"/>
                <w:sz w:val="24"/>
                <w:szCs w:val="24"/>
                <w:highlight w:val="none"/>
              </w:rPr>
            </w:pPr>
          </w:p>
        </w:tc>
        <w:tc>
          <w:tcPr>
            <w:tcW w:w="2006" w:type="dxa"/>
            <w:vAlign w:val="center"/>
          </w:tcPr>
          <w:p w14:paraId="14D8192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管理人员数量</w:t>
            </w:r>
          </w:p>
        </w:tc>
        <w:tc>
          <w:tcPr>
            <w:tcW w:w="1386" w:type="dxa"/>
            <w:vAlign w:val="center"/>
          </w:tcPr>
          <w:p w14:paraId="1A532B9D">
            <w:pPr>
              <w:rPr>
                <w:rFonts w:hint="eastAsia" w:ascii="宋体" w:hAnsi="宋体" w:eastAsia="宋体" w:cs="宋体"/>
                <w:sz w:val="24"/>
                <w:szCs w:val="24"/>
                <w:highlight w:val="none"/>
              </w:rPr>
            </w:pPr>
          </w:p>
        </w:tc>
        <w:tc>
          <w:tcPr>
            <w:tcW w:w="2011" w:type="dxa"/>
            <w:gridSpan w:val="2"/>
            <w:vAlign w:val="center"/>
          </w:tcPr>
          <w:p w14:paraId="0A11613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总人数量</w:t>
            </w:r>
          </w:p>
        </w:tc>
        <w:tc>
          <w:tcPr>
            <w:tcW w:w="928" w:type="dxa"/>
            <w:vAlign w:val="center"/>
          </w:tcPr>
          <w:p w14:paraId="2E318A3D">
            <w:pPr>
              <w:rPr>
                <w:rFonts w:hint="eastAsia" w:ascii="宋体" w:hAnsi="宋体" w:eastAsia="宋体" w:cs="宋体"/>
                <w:sz w:val="24"/>
                <w:szCs w:val="24"/>
                <w:highlight w:val="none"/>
              </w:rPr>
            </w:pPr>
          </w:p>
        </w:tc>
      </w:tr>
      <w:tr w14:paraId="215E2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9572" w:type="dxa"/>
            <w:gridSpan w:val="8"/>
            <w:vAlign w:val="center"/>
          </w:tcPr>
          <w:p w14:paraId="4724E59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设备、仪器情况</w:t>
            </w:r>
          </w:p>
        </w:tc>
      </w:tr>
      <w:tr w14:paraId="3AE8A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771" w:type="dxa"/>
            <w:tcBorders>
              <w:bottom w:val="single" w:color="auto" w:sz="2" w:space="0"/>
            </w:tcBorders>
            <w:vAlign w:val="center"/>
          </w:tcPr>
          <w:p w14:paraId="3CF3E35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470" w:type="dxa"/>
            <w:gridSpan w:val="2"/>
            <w:tcBorders>
              <w:bottom w:val="single" w:color="auto" w:sz="2" w:space="0"/>
            </w:tcBorders>
            <w:vAlign w:val="center"/>
          </w:tcPr>
          <w:p w14:paraId="3D44D52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设备名称</w:t>
            </w:r>
          </w:p>
        </w:tc>
        <w:tc>
          <w:tcPr>
            <w:tcW w:w="4633" w:type="dxa"/>
            <w:gridSpan w:val="3"/>
            <w:tcBorders>
              <w:bottom w:val="single" w:color="auto" w:sz="2" w:space="0"/>
            </w:tcBorders>
            <w:vAlign w:val="center"/>
          </w:tcPr>
          <w:p w14:paraId="67D8134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设备规格</w:t>
            </w:r>
          </w:p>
        </w:tc>
        <w:tc>
          <w:tcPr>
            <w:tcW w:w="1698" w:type="dxa"/>
            <w:gridSpan w:val="2"/>
            <w:vAlign w:val="center"/>
          </w:tcPr>
          <w:p w14:paraId="58B9CBE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设备数量</w:t>
            </w:r>
          </w:p>
        </w:tc>
      </w:tr>
      <w:tr w14:paraId="7A978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771" w:type="dxa"/>
            <w:tcBorders>
              <w:top w:val="single" w:color="auto" w:sz="2" w:space="0"/>
              <w:bottom w:val="single" w:color="auto" w:sz="2" w:space="0"/>
            </w:tcBorders>
            <w:vAlign w:val="center"/>
          </w:tcPr>
          <w:p w14:paraId="3AE27A6D">
            <w:pPr>
              <w:jc w:val="center"/>
              <w:rPr>
                <w:rFonts w:hint="eastAsia" w:ascii="宋体" w:hAnsi="宋体" w:eastAsia="宋体" w:cs="宋体"/>
                <w:sz w:val="24"/>
                <w:szCs w:val="24"/>
                <w:highlight w:val="none"/>
              </w:rPr>
            </w:pPr>
          </w:p>
        </w:tc>
        <w:tc>
          <w:tcPr>
            <w:tcW w:w="2470" w:type="dxa"/>
            <w:gridSpan w:val="2"/>
            <w:tcBorders>
              <w:top w:val="single" w:color="auto" w:sz="2" w:space="0"/>
              <w:bottom w:val="single" w:color="auto" w:sz="2" w:space="0"/>
            </w:tcBorders>
            <w:vAlign w:val="center"/>
          </w:tcPr>
          <w:p w14:paraId="3A9D945A">
            <w:pPr>
              <w:jc w:val="center"/>
              <w:rPr>
                <w:rFonts w:hint="eastAsia" w:ascii="宋体" w:hAnsi="宋体" w:eastAsia="宋体" w:cs="宋体"/>
                <w:sz w:val="24"/>
                <w:szCs w:val="24"/>
                <w:highlight w:val="none"/>
                <w:lang w:eastAsia="zh-CN"/>
              </w:rPr>
            </w:pPr>
          </w:p>
        </w:tc>
        <w:tc>
          <w:tcPr>
            <w:tcW w:w="4633" w:type="dxa"/>
            <w:gridSpan w:val="3"/>
            <w:tcBorders>
              <w:top w:val="single" w:color="auto" w:sz="2" w:space="0"/>
              <w:bottom w:val="single" w:color="auto" w:sz="2" w:space="0"/>
            </w:tcBorders>
            <w:vAlign w:val="center"/>
          </w:tcPr>
          <w:p w14:paraId="18794AC8">
            <w:pPr>
              <w:jc w:val="center"/>
              <w:rPr>
                <w:rFonts w:hint="eastAsia" w:ascii="宋体" w:hAnsi="宋体" w:eastAsia="宋体" w:cs="宋体"/>
                <w:sz w:val="24"/>
                <w:szCs w:val="24"/>
                <w:highlight w:val="none"/>
              </w:rPr>
            </w:pPr>
          </w:p>
        </w:tc>
        <w:tc>
          <w:tcPr>
            <w:tcW w:w="1698" w:type="dxa"/>
            <w:gridSpan w:val="2"/>
            <w:tcBorders>
              <w:bottom w:val="single" w:color="auto" w:sz="2" w:space="0"/>
            </w:tcBorders>
            <w:vAlign w:val="center"/>
          </w:tcPr>
          <w:p w14:paraId="1F39ACBD">
            <w:pPr>
              <w:jc w:val="center"/>
              <w:rPr>
                <w:rFonts w:hint="eastAsia" w:ascii="宋体" w:hAnsi="宋体" w:eastAsia="宋体" w:cs="宋体"/>
                <w:sz w:val="24"/>
                <w:szCs w:val="24"/>
                <w:highlight w:val="none"/>
              </w:rPr>
            </w:pPr>
          </w:p>
        </w:tc>
      </w:tr>
      <w:tr w14:paraId="1D8E6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771" w:type="dxa"/>
            <w:tcBorders>
              <w:top w:val="single" w:color="auto" w:sz="2" w:space="0"/>
              <w:bottom w:val="single" w:color="auto" w:sz="2" w:space="0"/>
            </w:tcBorders>
            <w:vAlign w:val="center"/>
          </w:tcPr>
          <w:p w14:paraId="521118EE">
            <w:pPr>
              <w:jc w:val="center"/>
              <w:rPr>
                <w:rFonts w:hint="eastAsia" w:ascii="宋体" w:hAnsi="宋体" w:eastAsia="宋体" w:cs="宋体"/>
                <w:sz w:val="24"/>
                <w:szCs w:val="24"/>
                <w:highlight w:val="none"/>
              </w:rPr>
            </w:pPr>
          </w:p>
        </w:tc>
        <w:tc>
          <w:tcPr>
            <w:tcW w:w="2470" w:type="dxa"/>
            <w:gridSpan w:val="2"/>
            <w:tcBorders>
              <w:top w:val="single" w:color="auto" w:sz="2" w:space="0"/>
              <w:bottom w:val="single" w:color="auto" w:sz="2" w:space="0"/>
            </w:tcBorders>
            <w:vAlign w:val="center"/>
          </w:tcPr>
          <w:p w14:paraId="01496AD3">
            <w:pPr>
              <w:jc w:val="center"/>
              <w:rPr>
                <w:rFonts w:hint="eastAsia" w:ascii="宋体" w:hAnsi="宋体" w:eastAsia="宋体" w:cs="宋体"/>
                <w:sz w:val="24"/>
                <w:szCs w:val="24"/>
                <w:highlight w:val="none"/>
              </w:rPr>
            </w:pPr>
          </w:p>
        </w:tc>
        <w:tc>
          <w:tcPr>
            <w:tcW w:w="4633" w:type="dxa"/>
            <w:gridSpan w:val="3"/>
            <w:tcBorders>
              <w:top w:val="single" w:color="auto" w:sz="2" w:space="0"/>
              <w:bottom w:val="single" w:color="auto" w:sz="2" w:space="0"/>
            </w:tcBorders>
            <w:vAlign w:val="center"/>
          </w:tcPr>
          <w:p w14:paraId="367504C7">
            <w:pPr>
              <w:jc w:val="center"/>
              <w:rPr>
                <w:rFonts w:hint="eastAsia" w:ascii="宋体" w:hAnsi="宋体" w:eastAsia="宋体" w:cs="宋体"/>
                <w:sz w:val="24"/>
                <w:szCs w:val="24"/>
                <w:highlight w:val="none"/>
              </w:rPr>
            </w:pPr>
          </w:p>
        </w:tc>
        <w:tc>
          <w:tcPr>
            <w:tcW w:w="1698" w:type="dxa"/>
            <w:gridSpan w:val="2"/>
            <w:tcBorders>
              <w:top w:val="single" w:color="auto" w:sz="2" w:space="0"/>
              <w:bottom w:val="single" w:color="auto" w:sz="2" w:space="0"/>
            </w:tcBorders>
            <w:vAlign w:val="center"/>
          </w:tcPr>
          <w:p w14:paraId="562CDDA1">
            <w:pPr>
              <w:jc w:val="center"/>
              <w:rPr>
                <w:rFonts w:hint="eastAsia" w:ascii="宋体" w:hAnsi="宋体" w:eastAsia="宋体" w:cs="宋体"/>
                <w:sz w:val="24"/>
                <w:szCs w:val="24"/>
                <w:highlight w:val="none"/>
              </w:rPr>
            </w:pPr>
          </w:p>
        </w:tc>
      </w:tr>
      <w:tr w14:paraId="04718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771" w:type="dxa"/>
            <w:tcBorders>
              <w:top w:val="single" w:color="auto" w:sz="2" w:space="0"/>
              <w:bottom w:val="single" w:color="auto" w:sz="2" w:space="0"/>
            </w:tcBorders>
            <w:vAlign w:val="center"/>
          </w:tcPr>
          <w:p w14:paraId="71474B9E">
            <w:pPr>
              <w:jc w:val="center"/>
              <w:rPr>
                <w:rFonts w:hint="eastAsia" w:ascii="宋体" w:hAnsi="宋体" w:eastAsia="宋体" w:cs="宋体"/>
                <w:sz w:val="24"/>
                <w:szCs w:val="24"/>
                <w:highlight w:val="none"/>
              </w:rPr>
            </w:pPr>
          </w:p>
        </w:tc>
        <w:tc>
          <w:tcPr>
            <w:tcW w:w="2470" w:type="dxa"/>
            <w:gridSpan w:val="2"/>
            <w:tcBorders>
              <w:top w:val="single" w:color="auto" w:sz="2" w:space="0"/>
              <w:bottom w:val="single" w:color="auto" w:sz="2" w:space="0"/>
            </w:tcBorders>
            <w:vAlign w:val="center"/>
          </w:tcPr>
          <w:p w14:paraId="76A4B18B">
            <w:pPr>
              <w:jc w:val="center"/>
              <w:rPr>
                <w:rFonts w:hint="eastAsia" w:ascii="宋体" w:hAnsi="宋体" w:eastAsia="宋体" w:cs="宋体"/>
                <w:sz w:val="24"/>
                <w:szCs w:val="24"/>
                <w:highlight w:val="none"/>
              </w:rPr>
            </w:pPr>
          </w:p>
        </w:tc>
        <w:tc>
          <w:tcPr>
            <w:tcW w:w="4633" w:type="dxa"/>
            <w:gridSpan w:val="3"/>
            <w:tcBorders>
              <w:top w:val="single" w:color="auto" w:sz="2" w:space="0"/>
              <w:bottom w:val="single" w:color="auto" w:sz="2" w:space="0"/>
            </w:tcBorders>
            <w:vAlign w:val="center"/>
          </w:tcPr>
          <w:p w14:paraId="155AB9D6">
            <w:pPr>
              <w:jc w:val="center"/>
              <w:rPr>
                <w:rFonts w:hint="eastAsia" w:ascii="宋体" w:hAnsi="宋体" w:eastAsia="宋体" w:cs="宋体"/>
                <w:sz w:val="24"/>
                <w:szCs w:val="24"/>
                <w:highlight w:val="none"/>
              </w:rPr>
            </w:pPr>
          </w:p>
        </w:tc>
        <w:tc>
          <w:tcPr>
            <w:tcW w:w="1698" w:type="dxa"/>
            <w:gridSpan w:val="2"/>
            <w:tcBorders>
              <w:top w:val="single" w:color="auto" w:sz="2" w:space="0"/>
            </w:tcBorders>
            <w:vAlign w:val="center"/>
          </w:tcPr>
          <w:p w14:paraId="696AC9B5">
            <w:pPr>
              <w:jc w:val="center"/>
              <w:rPr>
                <w:rFonts w:hint="eastAsia" w:ascii="宋体" w:hAnsi="宋体" w:eastAsia="宋体" w:cs="宋体"/>
                <w:sz w:val="24"/>
                <w:szCs w:val="24"/>
                <w:highlight w:val="none"/>
              </w:rPr>
            </w:pPr>
          </w:p>
        </w:tc>
      </w:tr>
      <w:tr w14:paraId="45BB3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771" w:type="dxa"/>
            <w:tcBorders>
              <w:top w:val="single" w:color="auto" w:sz="2" w:space="0"/>
            </w:tcBorders>
            <w:vAlign w:val="center"/>
          </w:tcPr>
          <w:p w14:paraId="24B98900">
            <w:pPr>
              <w:jc w:val="center"/>
              <w:rPr>
                <w:rFonts w:hint="eastAsia" w:ascii="宋体" w:hAnsi="宋体" w:eastAsia="宋体" w:cs="宋体"/>
                <w:sz w:val="24"/>
                <w:szCs w:val="24"/>
                <w:highlight w:val="none"/>
              </w:rPr>
            </w:pPr>
          </w:p>
        </w:tc>
        <w:tc>
          <w:tcPr>
            <w:tcW w:w="2470" w:type="dxa"/>
            <w:gridSpan w:val="2"/>
            <w:tcBorders>
              <w:top w:val="single" w:color="auto" w:sz="2" w:space="0"/>
            </w:tcBorders>
            <w:vAlign w:val="center"/>
          </w:tcPr>
          <w:p w14:paraId="57D05D5B">
            <w:pPr>
              <w:jc w:val="center"/>
              <w:rPr>
                <w:rFonts w:hint="eastAsia" w:ascii="宋体" w:hAnsi="宋体" w:eastAsia="宋体" w:cs="宋体"/>
                <w:sz w:val="24"/>
                <w:szCs w:val="24"/>
                <w:highlight w:val="none"/>
              </w:rPr>
            </w:pPr>
          </w:p>
        </w:tc>
        <w:tc>
          <w:tcPr>
            <w:tcW w:w="4633" w:type="dxa"/>
            <w:gridSpan w:val="3"/>
            <w:tcBorders>
              <w:top w:val="single" w:color="auto" w:sz="2" w:space="0"/>
            </w:tcBorders>
            <w:vAlign w:val="center"/>
          </w:tcPr>
          <w:p w14:paraId="5E293BC8">
            <w:pPr>
              <w:jc w:val="center"/>
              <w:rPr>
                <w:rFonts w:hint="eastAsia" w:ascii="宋体" w:hAnsi="宋体" w:eastAsia="宋体" w:cs="宋体"/>
                <w:sz w:val="24"/>
                <w:szCs w:val="24"/>
                <w:highlight w:val="none"/>
              </w:rPr>
            </w:pPr>
          </w:p>
        </w:tc>
        <w:tc>
          <w:tcPr>
            <w:tcW w:w="1698" w:type="dxa"/>
            <w:gridSpan w:val="2"/>
            <w:vAlign w:val="center"/>
          </w:tcPr>
          <w:p w14:paraId="4FE597F0">
            <w:pPr>
              <w:jc w:val="center"/>
              <w:rPr>
                <w:rFonts w:hint="eastAsia" w:ascii="宋体" w:hAnsi="宋体" w:eastAsia="宋体" w:cs="宋体"/>
                <w:sz w:val="24"/>
                <w:szCs w:val="24"/>
                <w:highlight w:val="none"/>
              </w:rPr>
            </w:pPr>
          </w:p>
        </w:tc>
      </w:tr>
    </w:tbl>
    <w:p w14:paraId="10AF6C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1、本表由供应商填写，不填写本表响应无效；</w:t>
      </w:r>
    </w:p>
    <w:p w14:paraId="0C65D4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sz w:val="24"/>
          <w:szCs w:val="24"/>
          <w:highlight w:val="none"/>
          <w:lang w:eastAsia="zh-CN"/>
        </w:rPr>
        <w:t>2、本表为供应商具有履行合同所必需的设备和专业技术能力说明，对代理商根据实际情况填写。</w:t>
      </w:r>
      <w:r>
        <w:rPr>
          <w:rFonts w:hint="eastAsia" w:ascii="宋体" w:hAnsi="宋体" w:eastAsia="宋体" w:cs="宋体"/>
          <w:b w:val="0"/>
          <w:bCs w:val="0"/>
          <w:sz w:val="24"/>
          <w:szCs w:val="24"/>
          <w:highlight w:val="none"/>
          <w:lang w:val="en-US" w:eastAsia="zh-CN"/>
        </w:rPr>
        <w:br w:type="page"/>
      </w:r>
    </w:p>
    <w:p w14:paraId="11FD905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zh-CN" w:eastAsia="zh-CN"/>
        </w:rPr>
      </w:pPr>
      <w:r>
        <w:rPr>
          <w:rFonts w:hint="eastAsia" w:ascii="宋体" w:hAnsi="宋体" w:eastAsia="宋体" w:cs="宋体"/>
          <w:b/>
          <w:sz w:val="28"/>
          <w:szCs w:val="28"/>
          <w:highlight w:val="none"/>
          <w:lang w:val="zh-CN" w:eastAsia="zh-CN"/>
        </w:rPr>
        <w:t>（六）参加采购活动前3年内在经营活动中没有重大违法记录的书面声明和信用记录承诺。</w:t>
      </w:r>
    </w:p>
    <w:p w14:paraId="7425F84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zh-CN" w:eastAsia="zh-CN"/>
        </w:rPr>
      </w:pPr>
      <w:r>
        <w:rPr>
          <w:rFonts w:hint="eastAsia" w:ascii="宋体" w:hAnsi="宋体" w:eastAsia="宋体" w:cs="宋体"/>
          <w:b/>
          <w:sz w:val="28"/>
          <w:szCs w:val="28"/>
          <w:highlight w:val="none"/>
          <w:lang w:val="zh-CN" w:eastAsia="zh-CN"/>
        </w:rPr>
        <w:t>无违规违法声明</w:t>
      </w:r>
    </w:p>
    <w:p w14:paraId="34A86BC6">
      <w:pPr>
        <w:widowControl/>
        <w:shd w:val="clear" w:color="auto" w:fill="FFFFFF"/>
        <w:spacing w:line="700" w:lineRule="atLeast"/>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 w:val="24"/>
          <w:highlight w:val="none"/>
        </w:rPr>
        <w:t>致：</w:t>
      </w:r>
      <w:r>
        <w:rPr>
          <w:rFonts w:hint="eastAsia" w:ascii="宋体" w:hAnsi="宋体" w:eastAsia="宋体" w:cs="宋体"/>
          <w:color w:val="000000"/>
          <w:kern w:val="0"/>
          <w:sz w:val="24"/>
          <w:highlight w:val="none"/>
          <w:lang w:eastAsia="zh-CN"/>
        </w:rPr>
        <w:t>疆海工程项目管理有限公司</w:t>
      </w:r>
    </w:p>
    <w:p w14:paraId="2A2E1B27">
      <w:pPr>
        <w:widowControl/>
        <w:shd w:val="clear" w:color="auto" w:fill="FFFFFF"/>
        <w:spacing w:line="700" w:lineRule="atLeast"/>
        <w:ind w:firstLine="566" w:firstLineChars="236"/>
        <w:rPr>
          <w:rFonts w:ascii="宋体" w:hAnsi="宋体" w:eastAsia="宋体" w:cs="宋体"/>
          <w:color w:val="000000"/>
          <w:kern w:val="0"/>
          <w:szCs w:val="21"/>
          <w:highlight w:val="none"/>
        </w:rPr>
      </w:pPr>
      <w:r>
        <w:rPr>
          <w:rFonts w:hint="eastAsia" w:ascii="宋体" w:hAnsi="宋体" w:eastAsia="宋体" w:cs="宋体"/>
          <w:color w:val="000000"/>
          <w:kern w:val="0"/>
          <w:sz w:val="24"/>
          <w:highlight w:val="none"/>
        </w:rPr>
        <w:t>我方在参加采购活动前3年内，在经营活动中没有重大违法记录。</w:t>
      </w:r>
    </w:p>
    <w:p w14:paraId="7E9767A5">
      <w:pPr>
        <w:widowControl/>
        <w:shd w:val="clear" w:color="auto" w:fill="FFFFFF"/>
        <w:spacing w:line="700" w:lineRule="atLeast"/>
        <w:ind w:firstLine="566" w:firstLineChars="236"/>
        <w:rPr>
          <w:rFonts w:ascii="宋体" w:hAnsi="宋体" w:eastAsia="宋体" w:cs="宋体"/>
          <w:color w:val="000000"/>
          <w:kern w:val="0"/>
          <w:szCs w:val="21"/>
          <w:highlight w:val="none"/>
        </w:rPr>
      </w:pPr>
      <w:r>
        <w:rPr>
          <w:rFonts w:hint="eastAsia" w:ascii="宋体" w:hAnsi="宋体" w:eastAsia="宋体" w:cs="宋体"/>
          <w:color w:val="000000"/>
          <w:kern w:val="0"/>
          <w:sz w:val="24"/>
          <w:highlight w:val="none"/>
        </w:rPr>
        <w:t>特此声明。</w:t>
      </w:r>
    </w:p>
    <w:p w14:paraId="6C072516">
      <w:pPr>
        <w:widowControl/>
        <w:shd w:val="clear" w:color="auto" w:fill="FFFFFF"/>
        <w:spacing w:line="700" w:lineRule="atLeast"/>
        <w:ind w:firstLine="566" w:firstLineChars="236"/>
        <w:rPr>
          <w:rFonts w:ascii="宋体" w:hAnsi="宋体" w:eastAsia="宋体" w:cs="宋体"/>
          <w:color w:val="000000"/>
          <w:kern w:val="0"/>
          <w:szCs w:val="21"/>
          <w:highlight w:val="none"/>
        </w:rPr>
      </w:pPr>
      <w:r>
        <w:rPr>
          <w:rFonts w:hint="eastAsia" w:ascii="宋体" w:hAnsi="宋体" w:eastAsia="宋体" w:cs="宋体"/>
          <w:color w:val="000000"/>
          <w:kern w:val="0"/>
          <w:sz w:val="24"/>
          <w:highlight w:val="none"/>
        </w:rPr>
        <w:t>如果以上声明不真实，我方全部承担虚假响应（投标）的责任，并接受依法施行的处罚。</w:t>
      </w:r>
    </w:p>
    <w:p w14:paraId="10C04789">
      <w:pPr>
        <w:widowControl/>
        <w:shd w:val="clear" w:color="auto" w:fill="FFFFFF"/>
        <w:spacing w:line="700" w:lineRule="atLeast"/>
        <w:ind w:firstLine="480" w:firstLineChars="200"/>
        <w:rPr>
          <w:rFonts w:ascii="宋体" w:hAnsi="宋体" w:eastAsia="宋体" w:cs="宋体"/>
          <w:color w:val="000000"/>
          <w:kern w:val="0"/>
          <w:szCs w:val="21"/>
          <w:highlight w:val="none"/>
        </w:rPr>
      </w:pPr>
      <w:r>
        <w:rPr>
          <w:rFonts w:hint="eastAsia" w:ascii="宋体" w:hAnsi="宋体" w:eastAsia="宋体" w:cs="宋体"/>
          <w:color w:val="000000"/>
          <w:kern w:val="0"/>
          <w:sz w:val="24"/>
          <w:highlight w:val="none"/>
          <w:lang w:eastAsia="zh-CN"/>
        </w:rPr>
        <w:t>供应商</w:t>
      </w:r>
      <w:r>
        <w:rPr>
          <w:rFonts w:hint="eastAsia" w:ascii="宋体" w:hAnsi="宋体" w:eastAsia="宋体" w:cs="宋体"/>
          <w:color w:val="000000"/>
          <w:kern w:val="0"/>
          <w:sz w:val="24"/>
          <w:highlight w:val="none"/>
        </w:rPr>
        <w:t>全称：</w:t>
      </w:r>
      <w:r>
        <w:rPr>
          <w:rFonts w:hint="eastAsia" w:eastAsia="宋体" w:cs="宋体"/>
          <w:color w:val="000000"/>
          <w:highlight w:val="none"/>
          <w:u w:val="single"/>
          <w:lang w:val="en-US" w:eastAsia="zh-CN"/>
        </w:rPr>
        <w:t xml:space="preserve">                </w:t>
      </w:r>
      <w:r>
        <w:rPr>
          <w:rFonts w:hint="eastAsia" w:ascii="宋体" w:hAnsi="宋体" w:eastAsia="宋体" w:cs="宋体"/>
          <w:color w:val="000000"/>
          <w:kern w:val="0"/>
          <w:sz w:val="24"/>
          <w:highlight w:val="none"/>
        </w:rPr>
        <w:t>（盖单位公章）</w:t>
      </w:r>
    </w:p>
    <w:p w14:paraId="4694C157">
      <w:pPr>
        <w:widowControl/>
        <w:shd w:val="clear" w:color="auto" w:fill="FFFFFF"/>
        <w:spacing w:line="700" w:lineRule="atLeast"/>
        <w:jc w:val="right"/>
        <w:rPr>
          <w:rFonts w:ascii="宋体" w:hAnsi="宋体" w:eastAsia="宋体" w:cs="宋体"/>
          <w:color w:val="000000"/>
          <w:kern w:val="0"/>
          <w:szCs w:val="21"/>
          <w:highlight w:val="none"/>
        </w:rPr>
      </w:pPr>
      <w:r>
        <w:rPr>
          <w:rFonts w:hint="eastAsia" w:ascii="宋体" w:hAnsi="宋体" w:eastAsia="宋体" w:cs="宋体"/>
          <w:color w:val="000000"/>
          <w:kern w:val="0"/>
          <w:sz w:val="24"/>
          <w:highlight w:val="none"/>
        </w:rPr>
        <w:t>年 月 日</w:t>
      </w:r>
    </w:p>
    <w:p w14:paraId="235B931B">
      <w:pPr>
        <w:widowControl/>
        <w:shd w:val="clear" w:color="auto" w:fill="FFFFFF"/>
        <w:spacing w:line="700" w:lineRule="atLeas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注：重大违法记录，是指供应商</w:t>
      </w:r>
      <w:r>
        <w:rPr>
          <w:rFonts w:hint="eastAsia" w:ascii="宋体" w:hAnsi="宋体" w:eastAsia="宋体" w:cs="宋体"/>
          <w:color w:val="000000"/>
          <w:kern w:val="0"/>
          <w:sz w:val="24"/>
          <w:highlight w:val="none"/>
          <w:lang w:eastAsia="zh-CN"/>
        </w:rPr>
        <w:t>（投标人）</w:t>
      </w:r>
      <w:r>
        <w:rPr>
          <w:rFonts w:hint="eastAsia" w:ascii="宋体" w:hAnsi="宋体" w:eastAsia="宋体" w:cs="宋体"/>
          <w:color w:val="000000"/>
          <w:kern w:val="0"/>
          <w:sz w:val="24"/>
          <w:highlight w:val="none"/>
        </w:rPr>
        <w:t>因违法经营受到刑事处罚或者责令停产停业、吊销许可证或者执照、较大数额罚款等行政处罚。</w:t>
      </w:r>
    </w:p>
    <w:p w14:paraId="3632316F">
      <w:pPr>
        <w:widowControl/>
        <w:shd w:val="clear" w:color="auto" w:fill="FFFFFF"/>
        <w:spacing w:line="700" w:lineRule="atLeast"/>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color w:val="000000"/>
          <w:kern w:val="0"/>
          <w:sz w:val="24"/>
          <w:highlight w:val="none"/>
        </w:rPr>
        <w:t>供应商</w:t>
      </w:r>
      <w:r>
        <w:rPr>
          <w:rFonts w:hint="eastAsia" w:ascii="宋体" w:hAnsi="宋体" w:eastAsia="宋体" w:cs="宋体"/>
          <w:color w:val="000000"/>
          <w:kern w:val="0"/>
          <w:sz w:val="24"/>
          <w:highlight w:val="none"/>
          <w:lang w:eastAsia="zh-CN"/>
        </w:rPr>
        <w:t>（投标人）</w:t>
      </w:r>
      <w:r>
        <w:rPr>
          <w:rFonts w:hint="eastAsia" w:ascii="宋体" w:hAnsi="宋体" w:eastAsia="宋体" w:cs="宋体"/>
          <w:color w:val="000000"/>
          <w:kern w:val="0"/>
          <w:sz w:val="24"/>
          <w:highlight w:val="none"/>
        </w:rPr>
        <w:t>在参加采购活动前3年内因违法经营被禁止在一定期限内参加采购活动，期限届满的，可以参加政府采购活动。</w:t>
      </w:r>
      <w:r>
        <w:rPr>
          <w:rFonts w:hint="eastAsia" w:ascii="宋体" w:hAnsi="宋体" w:eastAsia="宋体" w:cs="宋体"/>
          <w:b w:val="0"/>
          <w:bCs w:val="0"/>
          <w:sz w:val="24"/>
          <w:szCs w:val="24"/>
          <w:highlight w:val="none"/>
          <w:lang w:val="en-US" w:eastAsia="zh-CN"/>
        </w:rPr>
        <w:br w:type="page"/>
      </w:r>
    </w:p>
    <w:p w14:paraId="49493F3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zh-CN" w:eastAsia="zh-CN"/>
        </w:rPr>
      </w:pPr>
      <w:r>
        <w:rPr>
          <w:rFonts w:hint="eastAsia" w:ascii="宋体" w:hAnsi="宋体" w:eastAsia="宋体" w:cs="宋体"/>
          <w:b/>
          <w:sz w:val="28"/>
          <w:szCs w:val="28"/>
          <w:highlight w:val="none"/>
          <w:lang w:val="zh-CN" w:eastAsia="zh-CN"/>
        </w:rPr>
        <w:t>信用记录承诺</w:t>
      </w:r>
    </w:p>
    <w:p w14:paraId="3147D593">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eastAsia="zh-CN"/>
        </w:rPr>
        <w:t>疆海工程项目管理有限公司</w:t>
      </w:r>
    </w:p>
    <w:p w14:paraId="604154F9">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我方郑重承诺，在参与</w:t>
      </w:r>
      <w:r>
        <w:rPr>
          <w:rFonts w:hint="eastAsia" w:ascii="宋体" w:hAnsi="宋体" w:eastAsia="宋体" w:cs="宋体"/>
          <w:color w:val="auto"/>
          <w:sz w:val="24"/>
          <w:szCs w:val="24"/>
          <w:highlight w:val="none"/>
          <w:u w:val="single"/>
          <w:lang w:val="en-US" w:eastAsia="zh-CN"/>
        </w:rPr>
        <w:t xml:space="preserve">   </w:t>
      </w:r>
      <w:r>
        <w:rPr>
          <w:rFonts w:hint="eastAsia"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采购期间，未被“信用中国”（www.creditchina.gov.cn）列入失信被执行人、重大税收违法失信主体，未被“中国政府采购网（www.ccgp.gov.cn）”列入政府采购严重违法失信行为信息记录名单（处罚期限尚未届满的）。</w:t>
      </w:r>
    </w:p>
    <w:p w14:paraId="116ED336">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如果以上承诺不真实，我方全部承担虚假投标（响应）的责任，并接受依法施行的处罚。</w:t>
      </w:r>
    </w:p>
    <w:p w14:paraId="7C38FE07">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（盖单位公章）</w:t>
      </w:r>
    </w:p>
    <w:p w14:paraId="7B4BE3C9">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firstLine="422" w:firstLineChars="176"/>
        <w:jc w:val="righ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color w:val="auto"/>
          <w:sz w:val="24"/>
          <w:szCs w:val="24"/>
          <w:highlight w:val="none"/>
        </w:rPr>
        <w:t>年  月  日</w:t>
      </w:r>
      <w:r>
        <w:rPr>
          <w:rFonts w:hint="eastAsia" w:ascii="宋体" w:hAnsi="宋体" w:eastAsia="宋体" w:cs="宋体"/>
          <w:b w:val="0"/>
          <w:bCs w:val="0"/>
          <w:sz w:val="24"/>
          <w:szCs w:val="24"/>
          <w:highlight w:val="none"/>
          <w:lang w:val="en-US" w:eastAsia="zh-CN"/>
        </w:rPr>
        <w:br w:type="page"/>
      </w:r>
    </w:p>
    <w:p w14:paraId="4A629F9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zh-CN" w:eastAsia="zh-CN"/>
        </w:rPr>
      </w:pPr>
      <w:bookmarkStart w:id="21" w:name="_Toc33016979"/>
      <w:bookmarkStart w:id="22" w:name="_Toc28588791"/>
      <w:bookmarkStart w:id="23" w:name="_Toc3396"/>
      <w:bookmarkStart w:id="24" w:name="_Toc2406"/>
      <w:bookmarkStart w:id="25" w:name="_Toc30034"/>
      <w:bookmarkStart w:id="26" w:name="_Toc15748"/>
      <w:bookmarkStart w:id="27" w:name="_Toc32181"/>
      <w:bookmarkStart w:id="28" w:name="_Toc20380"/>
      <w:bookmarkStart w:id="29" w:name="_Toc27275"/>
      <w:r>
        <w:rPr>
          <w:rFonts w:hint="eastAsia" w:ascii="宋体" w:hAnsi="宋体" w:eastAsia="宋体" w:cs="宋体"/>
          <w:b/>
          <w:sz w:val="28"/>
          <w:szCs w:val="28"/>
          <w:highlight w:val="none"/>
          <w:lang w:val="zh-CN" w:eastAsia="zh-CN"/>
        </w:rPr>
        <w:t>四</w:t>
      </w:r>
      <w:bookmarkEnd w:id="21"/>
      <w:bookmarkEnd w:id="22"/>
      <w:bookmarkEnd w:id="23"/>
      <w:bookmarkEnd w:id="24"/>
      <w:bookmarkEnd w:id="25"/>
      <w:r>
        <w:rPr>
          <w:rFonts w:hint="eastAsia" w:ascii="宋体" w:hAnsi="宋体" w:eastAsia="宋体" w:cs="宋体"/>
          <w:b/>
          <w:sz w:val="28"/>
          <w:szCs w:val="28"/>
          <w:highlight w:val="none"/>
          <w:lang w:val="zh-CN" w:eastAsia="zh-CN"/>
        </w:rPr>
        <w:t>、业绩资料</w:t>
      </w:r>
      <w:bookmarkEnd w:id="26"/>
      <w:bookmarkEnd w:id="27"/>
      <w:bookmarkEnd w:id="28"/>
      <w:bookmarkEnd w:id="29"/>
    </w:p>
    <w:p w14:paraId="2D8B121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zh-CN" w:eastAsia="zh-CN"/>
        </w:rPr>
      </w:pPr>
      <w:bookmarkStart w:id="30" w:name="_Toc31133"/>
      <w:bookmarkStart w:id="31" w:name="_Toc16974"/>
      <w:bookmarkStart w:id="32" w:name="_Toc26089"/>
      <w:bookmarkStart w:id="33" w:name="_Toc10110"/>
      <w:bookmarkStart w:id="34" w:name="_Toc30967"/>
      <w:r>
        <w:rPr>
          <w:rFonts w:hint="eastAsia" w:ascii="宋体" w:hAnsi="宋体" w:eastAsia="宋体" w:cs="宋体"/>
          <w:b/>
          <w:sz w:val="28"/>
          <w:szCs w:val="28"/>
          <w:highlight w:val="none"/>
          <w:lang w:val="zh-CN" w:eastAsia="zh-CN"/>
        </w:rPr>
        <w:t>近年完成的类似项目情况表</w:t>
      </w:r>
      <w:bookmarkEnd w:id="30"/>
      <w:bookmarkEnd w:id="31"/>
      <w:bookmarkEnd w:id="32"/>
      <w:bookmarkEnd w:id="33"/>
      <w:bookmarkEnd w:id="34"/>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6249"/>
      </w:tblGrid>
      <w:tr w14:paraId="544C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97" w:type="dxa"/>
            <w:vAlign w:val="center"/>
          </w:tcPr>
          <w:p w14:paraId="094ED4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249" w:type="dxa"/>
            <w:vAlign w:val="center"/>
          </w:tcPr>
          <w:p w14:paraId="1871D5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p>
        </w:tc>
      </w:tr>
      <w:tr w14:paraId="3C4E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97" w:type="dxa"/>
            <w:vAlign w:val="center"/>
          </w:tcPr>
          <w:p w14:paraId="431298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项目所在地</w:t>
            </w:r>
          </w:p>
        </w:tc>
        <w:tc>
          <w:tcPr>
            <w:tcW w:w="6249" w:type="dxa"/>
            <w:vAlign w:val="center"/>
          </w:tcPr>
          <w:p w14:paraId="10851E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p>
        </w:tc>
      </w:tr>
      <w:tr w14:paraId="0D95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97" w:type="dxa"/>
            <w:vAlign w:val="center"/>
          </w:tcPr>
          <w:p w14:paraId="28419D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发包人名称</w:t>
            </w:r>
          </w:p>
        </w:tc>
        <w:tc>
          <w:tcPr>
            <w:tcW w:w="6249" w:type="dxa"/>
            <w:vAlign w:val="center"/>
          </w:tcPr>
          <w:p w14:paraId="3CE71B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p>
        </w:tc>
      </w:tr>
      <w:tr w14:paraId="0E78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97" w:type="dxa"/>
            <w:vAlign w:val="center"/>
          </w:tcPr>
          <w:p w14:paraId="62BEE0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发包人地址</w:t>
            </w:r>
          </w:p>
        </w:tc>
        <w:tc>
          <w:tcPr>
            <w:tcW w:w="6249" w:type="dxa"/>
            <w:vAlign w:val="center"/>
          </w:tcPr>
          <w:p w14:paraId="6A3911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p>
        </w:tc>
      </w:tr>
      <w:tr w14:paraId="5E6E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97" w:type="dxa"/>
            <w:vAlign w:val="center"/>
          </w:tcPr>
          <w:p w14:paraId="5D4DDB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发包人电话</w:t>
            </w:r>
          </w:p>
        </w:tc>
        <w:tc>
          <w:tcPr>
            <w:tcW w:w="6249" w:type="dxa"/>
            <w:vAlign w:val="center"/>
          </w:tcPr>
          <w:p w14:paraId="4D6870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p>
        </w:tc>
      </w:tr>
      <w:tr w14:paraId="61AB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97" w:type="dxa"/>
            <w:vAlign w:val="center"/>
          </w:tcPr>
          <w:p w14:paraId="37437F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签约合同价</w:t>
            </w:r>
          </w:p>
        </w:tc>
        <w:tc>
          <w:tcPr>
            <w:tcW w:w="6249" w:type="dxa"/>
            <w:vAlign w:val="center"/>
          </w:tcPr>
          <w:p w14:paraId="61260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p>
        </w:tc>
      </w:tr>
      <w:tr w14:paraId="46FA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97" w:type="dxa"/>
            <w:vAlign w:val="center"/>
          </w:tcPr>
          <w:p w14:paraId="182F71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开工日期</w:t>
            </w:r>
          </w:p>
        </w:tc>
        <w:tc>
          <w:tcPr>
            <w:tcW w:w="6249" w:type="dxa"/>
            <w:vAlign w:val="center"/>
          </w:tcPr>
          <w:p w14:paraId="1348BC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p>
        </w:tc>
      </w:tr>
      <w:tr w14:paraId="1E89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97" w:type="dxa"/>
            <w:vAlign w:val="center"/>
          </w:tcPr>
          <w:p w14:paraId="013F71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计划竣工日期</w:t>
            </w:r>
          </w:p>
        </w:tc>
        <w:tc>
          <w:tcPr>
            <w:tcW w:w="6249" w:type="dxa"/>
            <w:vAlign w:val="center"/>
          </w:tcPr>
          <w:p w14:paraId="4C0872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p>
        </w:tc>
      </w:tr>
      <w:tr w14:paraId="01CD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97" w:type="dxa"/>
            <w:vAlign w:val="center"/>
          </w:tcPr>
          <w:p w14:paraId="6D410D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承担的工作</w:t>
            </w:r>
          </w:p>
        </w:tc>
        <w:tc>
          <w:tcPr>
            <w:tcW w:w="6249" w:type="dxa"/>
            <w:vAlign w:val="center"/>
          </w:tcPr>
          <w:p w14:paraId="660C49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p>
        </w:tc>
      </w:tr>
      <w:tr w14:paraId="34C1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97" w:type="dxa"/>
            <w:vAlign w:val="center"/>
          </w:tcPr>
          <w:p w14:paraId="6BA43C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工程质量</w:t>
            </w:r>
          </w:p>
        </w:tc>
        <w:tc>
          <w:tcPr>
            <w:tcW w:w="6249" w:type="dxa"/>
            <w:vAlign w:val="center"/>
          </w:tcPr>
          <w:p w14:paraId="7886F9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p>
        </w:tc>
      </w:tr>
      <w:tr w14:paraId="0F1B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97" w:type="dxa"/>
            <w:vAlign w:val="center"/>
          </w:tcPr>
          <w:p w14:paraId="3C5615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总监理工程师及电话</w:t>
            </w:r>
          </w:p>
        </w:tc>
        <w:tc>
          <w:tcPr>
            <w:tcW w:w="6249" w:type="dxa"/>
            <w:vAlign w:val="center"/>
          </w:tcPr>
          <w:p w14:paraId="1D05DF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p>
        </w:tc>
      </w:tr>
      <w:tr w14:paraId="5D3F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97" w:type="dxa"/>
            <w:vAlign w:val="center"/>
          </w:tcPr>
          <w:p w14:paraId="73D295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项目描述</w:t>
            </w:r>
          </w:p>
        </w:tc>
        <w:tc>
          <w:tcPr>
            <w:tcW w:w="6249" w:type="dxa"/>
            <w:vAlign w:val="center"/>
          </w:tcPr>
          <w:p w14:paraId="63EF83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p>
        </w:tc>
      </w:tr>
      <w:tr w14:paraId="7B80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97" w:type="dxa"/>
            <w:vAlign w:val="center"/>
          </w:tcPr>
          <w:p w14:paraId="4E7EC2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备注</w:t>
            </w:r>
          </w:p>
        </w:tc>
        <w:tc>
          <w:tcPr>
            <w:tcW w:w="6249" w:type="dxa"/>
            <w:vAlign w:val="center"/>
          </w:tcPr>
          <w:p w14:paraId="330276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highlight w:val="none"/>
              </w:rPr>
            </w:pPr>
          </w:p>
        </w:tc>
      </w:tr>
    </w:tbl>
    <w:p w14:paraId="1226F5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eastAsia="宋体" w:cs="宋体"/>
          <w:highlight w:val="none"/>
        </w:rPr>
        <w:t>备注：本表后附业绩证明材料扫描件</w:t>
      </w:r>
      <w:r>
        <w:rPr>
          <w:rFonts w:hint="eastAsia" w:eastAsia="宋体" w:cs="宋体"/>
          <w:highlight w:val="none"/>
          <w:lang w:eastAsia="zh-CN"/>
        </w:rPr>
        <w:t>并加盖公章</w:t>
      </w:r>
      <w:r>
        <w:rPr>
          <w:rFonts w:hint="eastAsia" w:eastAsia="宋体" w:cs="宋体"/>
          <w:highlight w:val="none"/>
        </w:rPr>
        <w:t>，具体要求见磋商文件评分办法（如有）。每张表格只填写一个项目，并标明序号。</w:t>
      </w:r>
      <w:r>
        <w:rPr>
          <w:rFonts w:hint="eastAsia" w:ascii="宋体" w:hAnsi="宋体" w:eastAsia="宋体" w:cs="宋体"/>
          <w:b w:val="0"/>
          <w:bCs w:val="0"/>
          <w:sz w:val="24"/>
          <w:szCs w:val="24"/>
          <w:highlight w:val="none"/>
          <w:lang w:val="en-US" w:eastAsia="zh-CN"/>
        </w:rPr>
        <w:br w:type="page"/>
      </w:r>
    </w:p>
    <w:p w14:paraId="750E5B8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zh-CN" w:eastAsia="zh-CN"/>
        </w:rPr>
      </w:pPr>
      <w:bookmarkStart w:id="35" w:name="_Toc14120"/>
      <w:r>
        <w:rPr>
          <w:rFonts w:hint="eastAsia" w:ascii="宋体" w:hAnsi="宋体" w:eastAsia="宋体" w:cs="宋体"/>
          <w:b/>
          <w:sz w:val="28"/>
          <w:szCs w:val="28"/>
          <w:highlight w:val="none"/>
          <w:lang w:val="zh-CN" w:eastAsia="zh-CN"/>
        </w:rPr>
        <w:t>五、拟投入本项目从业人员</w:t>
      </w:r>
      <w:bookmarkEnd w:id="35"/>
    </w:p>
    <w:tbl>
      <w:tblPr>
        <w:tblStyle w:val="27"/>
        <w:tblW w:w="965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
        <w:gridCol w:w="1213"/>
        <w:gridCol w:w="935"/>
        <w:gridCol w:w="935"/>
        <w:gridCol w:w="935"/>
        <w:gridCol w:w="935"/>
        <w:gridCol w:w="935"/>
        <w:gridCol w:w="935"/>
        <w:gridCol w:w="935"/>
        <w:gridCol w:w="936"/>
      </w:tblGrid>
      <w:tr w14:paraId="005501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8" w:hRule="atLeast"/>
          <w:jc w:val="center"/>
        </w:trPr>
        <w:tc>
          <w:tcPr>
            <w:tcW w:w="965" w:type="dxa"/>
            <w:tcBorders>
              <w:top w:val="outset" w:color="auto" w:sz="6" w:space="0"/>
              <w:left w:val="outset" w:color="auto" w:sz="6" w:space="0"/>
              <w:bottom w:val="outset" w:color="auto" w:sz="6" w:space="0"/>
              <w:right w:val="outset" w:color="auto" w:sz="6" w:space="0"/>
            </w:tcBorders>
            <w:noWrap w:val="0"/>
            <w:vAlign w:val="center"/>
          </w:tcPr>
          <w:p w14:paraId="61DF7F54">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姓名</w:t>
            </w:r>
          </w:p>
          <w:p w14:paraId="3EFDE04D">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（必填）</w:t>
            </w:r>
          </w:p>
        </w:tc>
        <w:tc>
          <w:tcPr>
            <w:tcW w:w="1213" w:type="dxa"/>
            <w:tcBorders>
              <w:top w:val="outset" w:color="auto" w:sz="6" w:space="0"/>
              <w:left w:val="outset" w:color="auto" w:sz="6" w:space="0"/>
              <w:bottom w:val="outset" w:color="auto" w:sz="6" w:space="0"/>
              <w:right w:val="outset" w:color="auto" w:sz="6" w:space="0"/>
            </w:tcBorders>
            <w:noWrap w:val="0"/>
            <w:vAlign w:val="center"/>
          </w:tcPr>
          <w:p w14:paraId="5F24E2BE">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身份证号</w:t>
            </w:r>
          </w:p>
          <w:p w14:paraId="52521CE4">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（必填）</w:t>
            </w:r>
          </w:p>
        </w:tc>
        <w:tc>
          <w:tcPr>
            <w:tcW w:w="935" w:type="dxa"/>
            <w:tcBorders>
              <w:top w:val="outset" w:color="auto" w:sz="6" w:space="0"/>
              <w:left w:val="outset" w:color="auto" w:sz="6" w:space="0"/>
              <w:bottom w:val="outset" w:color="auto" w:sz="6" w:space="0"/>
              <w:right w:val="outset" w:color="auto" w:sz="6" w:space="0"/>
            </w:tcBorders>
            <w:noWrap w:val="0"/>
            <w:vAlign w:val="center"/>
          </w:tcPr>
          <w:p w14:paraId="4363B0ED">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性别</w:t>
            </w:r>
          </w:p>
        </w:tc>
        <w:tc>
          <w:tcPr>
            <w:tcW w:w="935" w:type="dxa"/>
            <w:tcBorders>
              <w:top w:val="outset" w:color="auto" w:sz="6" w:space="0"/>
              <w:left w:val="outset" w:color="auto" w:sz="6" w:space="0"/>
              <w:bottom w:val="outset" w:color="auto" w:sz="6" w:space="0"/>
              <w:right w:val="outset" w:color="auto" w:sz="6" w:space="0"/>
            </w:tcBorders>
            <w:noWrap w:val="0"/>
            <w:vAlign w:val="center"/>
          </w:tcPr>
          <w:p w14:paraId="6F642C8D">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学历</w:t>
            </w:r>
          </w:p>
        </w:tc>
        <w:tc>
          <w:tcPr>
            <w:tcW w:w="935" w:type="dxa"/>
            <w:tcBorders>
              <w:top w:val="outset" w:color="auto" w:sz="6" w:space="0"/>
              <w:left w:val="outset" w:color="auto" w:sz="6" w:space="0"/>
              <w:bottom w:val="outset" w:color="auto" w:sz="6" w:space="0"/>
              <w:right w:val="outset" w:color="auto" w:sz="6" w:space="0"/>
            </w:tcBorders>
            <w:noWrap w:val="0"/>
            <w:vAlign w:val="center"/>
          </w:tcPr>
          <w:p w14:paraId="7854E904">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职称</w:t>
            </w:r>
          </w:p>
        </w:tc>
        <w:tc>
          <w:tcPr>
            <w:tcW w:w="935" w:type="dxa"/>
            <w:tcBorders>
              <w:top w:val="outset" w:color="auto" w:sz="6" w:space="0"/>
              <w:left w:val="outset" w:color="auto" w:sz="6" w:space="0"/>
              <w:bottom w:val="outset" w:color="auto" w:sz="6" w:space="0"/>
              <w:right w:val="outset" w:color="auto" w:sz="6" w:space="0"/>
            </w:tcBorders>
            <w:noWrap w:val="0"/>
            <w:vAlign w:val="center"/>
          </w:tcPr>
          <w:p w14:paraId="04FDF6D2">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岗位</w:t>
            </w:r>
          </w:p>
        </w:tc>
        <w:tc>
          <w:tcPr>
            <w:tcW w:w="935" w:type="dxa"/>
            <w:tcBorders>
              <w:top w:val="outset" w:color="auto" w:sz="6" w:space="0"/>
              <w:left w:val="outset" w:color="auto" w:sz="6" w:space="0"/>
              <w:bottom w:val="outset" w:color="auto" w:sz="6" w:space="0"/>
              <w:right w:val="outset" w:color="auto" w:sz="6" w:space="0"/>
            </w:tcBorders>
            <w:noWrap w:val="0"/>
            <w:vAlign w:val="center"/>
          </w:tcPr>
          <w:p w14:paraId="755E52F7">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从业年限</w:t>
            </w:r>
          </w:p>
        </w:tc>
        <w:tc>
          <w:tcPr>
            <w:tcW w:w="935" w:type="dxa"/>
            <w:tcBorders>
              <w:top w:val="outset" w:color="auto" w:sz="6" w:space="0"/>
              <w:left w:val="outset" w:color="auto" w:sz="6" w:space="0"/>
              <w:bottom w:val="outset" w:color="auto" w:sz="6" w:space="0"/>
              <w:right w:val="outset" w:color="auto" w:sz="6" w:space="0"/>
            </w:tcBorders>
            <w:noWrap w:val="0"/>
            <w:vAlign w:val="center"/>
          </w:tcPr>
          <w:p w14:paraId="79E0EFDB">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资格证书</w:t>
            </w:r>
          </w:p>
        </w:tc>
        <w:tc>
          <w:tcPr>
            <w:tcW w:w="935" w:type="dxa"/>
            <w:tcBorders>
              <w:top w:val="outset" w:color="auto" w:sz="6" w:space="0"/>
              <w:left w:val="outset" w:color="auto" w:sz="6" w:space="0"/>
              <w:bottom w:val="outset" w:color="auto" w:sz="6" w:space="0"/>
              <w:right w:val="outset" w:color="auto" w:sz="6" w:space="0"/>
            </w:tcBorders>
            <w:noWrap w:val="0"/>
            <w:vAlign w:val="center"/>
          </w:tcPr>
          <w:p w14:paraId="2047B9DB">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获奖情况</w:t>
            </w:r>
          </w:p>
        </w:tc>
        <w:tc>
          <w:tcPr>
            <w:tcW w:w="936" w:type="dxa"/>
            <w:tcBorders>
              <w:top w:val="outset" w:color="auto" w:sz="6" w:space="0"/>
              <w:left w:val="outset" w:color="auto" w:sz="6" w:space="0"/>
              <w:bottom w:val="outset" w:color="auto" w:sz="6" w:space="0"/>
              <w:right w:val="outset" w:color="auto" w:sz="6" w:space="0"/>
            </w:tcBorders>
            <w:noWrap w:val="0"/>
            <w:vAlign w:val="center"/>
          </w:tcPr>
          <w:p w14:paraId="538B477E">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备注</w:t>
            </w:r>
          </w:p>
        </w:tc>
      </w:tr>
      <w:tr w14:paraId="6CA8B8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8" w:hRule="atLeast"/>
          <w:jc w:val="center"/>
        </w:trPr>
        <w:tc>
          <w:tcPr>
            <w:tcW w:w="965" w:type="dxa"/>
            <w:tcBorders>
              <w:top w:val="outset" w:color="auto" w:sz="6" w:space="0"/>
              <w:left w:val="outset" w:color="auto" w:sz="6" w:space="0"/>
              <w:bottom w:val="outset" w:color="auto" w:sz="6" w:space="0"/>
              <w:right w:val="outset" w:color="auto" w:sz="6" w:space="0"/>
            </w:tcBorders>
            <w:noWrap w:val="0"/>
            <w:vAlign w:val="center"/>
          </w:tcPr>
          <w:p w14:paraId="36A8C079">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5EC6959D">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7C1E0FB4">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68462FF0">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53270A38">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73B1A9FD">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74341500">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40C69621">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74A160A8">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6" w:type="dxa"/>
            <w:tcBorders>
              <w:top w:val="outset" w:color="auto" w:sz="6" w:space="0"/>
              <w:left w:val="outset" w:color="auto" w:sz="6" w:space="0"/>
              <w:bottom w:val="outset" w:color="auto" w:sz="6" w:space="0"/>
              <w:right w:val="outset" w:color="auto" w:sz="6" w:space="0"/>
            </w:tcBorders>
            <w:noWrap w:val="0"/>
            <w:vAlign w:val="center"/>
          </w:tcPr>
          <w:p w14:paraId="477C1DC0">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r>
      <w:tr w14:paraId="37D630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8" w:hRule="atLeast"/>
          <w:jc w:val="center"/>
        </w:trPr>
        <w:tc>
          <w:tcPr>
            <w:tcW w:w="965" w:type="dxa"/>
            <w:tcBorders>
              <w:top w:val="outset" w:color="auto" w:sz="6" w:space="0"/>
              <w:left w:val="outset" w:color="auto" w:sz="6" w:space="0"/>
              <w:bottom w:val="outset" w:color="auto" w:sz="6" w:space="0"/>
              <w:right w:val="outset" w:color="auto" w:sz="6" w:space="0"/>
            </w:tcBorders>
            <w:noWrap w:val="0"/>
            <w:vAlign w:val="center"/>
          </w:tcPr>
          <w:p w14:paraId="56C9EC0B">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59C1DFCF">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05D9BBE3">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6EEC4DE6">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009E1DA3">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72012D58">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15CEFAB0">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7D910C16">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1AA1B69E">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6" w:type="dxa"/>
            <w:tcBorders>
              <w:top w:val="outset" w:color="auto" w:sz="6" w:space="0"/>
              <w:left w:val="outset" w:color="auto" w:sz="6" w:space="0"/>
              <w:bottom w:val="outset" w:color="auto" w:sz="6" w:space="0"/>
              <w:right w:val="outset" w:color="auto" w:sz="6" w:space="0"/>
            </w:tcBorders>
            <w:noWrap w:val="0"/>
            <w:vAlign w:val="center"/>
          </w:tcPr>
          <w:p w14:paraId="43FC8920">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r>
      <w:tr w14:paraId="361349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8" w:hRule="atLeast"/>
          <w:jc w:val="center"/>
        </w:trPr>
        <w:tc>
          <w:tcPr>
            <w:tcW w:w="965" w:type="dxa"/>
            <w:tcBorders>
              <w:top w:val="outset" w:color="auto" w:sz="6" w:space="0"/>
              <w:left w:val="outset" w:color="auto" w:sz="6" w:space="0"/>
              <w:bottom w:val="outset" w:color="auto" w:sz="6" w:space="0"/>
              <w:right w:val="outset" w:color="auto" w:sz="6" w:space="0"/>
            </w:tcBorders>
            <w:noWrap w:val="0"/>
            <w:vAlign w:val="center"/>
          </w:tcPr>
          <w:p w14:paraId="6C7BD8FB">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3B7A61F0">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725929AE">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31F8ABD8">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28A838F4">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5742B786">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73CCD57F">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66DD185E">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590A70B4">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6" w:type="dxa"/>
            <w:tcBorders>
              <w:top w:val="outset" w:color="auto" w:sz="6" w:space="0"/>
              <w:left w:val="outset" w:color="auto" w:sz="6" w:space="0"/>
              <w:bottom w:val="outset" w:color="auto" w:sz="6" w:space="0"/>
              <w:right w:val="outset" w:color="auto" w:sz="6" w:space="0"/>
            </w:tcBorders>
            <w:noWrap w:val="0"/>
            <w:vAlign w:val="center"/>
          </w:tcPr>
          <w:p w14:paraId="45B2EF68">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r>
      <w:tr w14:paraId="2A714F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8" w:hRule="atLeast"/>
          <w:jc w:val="center"/>
        </w:trPr>
        <w:tc>
          <w:tcPr>
            <w:tcW w:w="965" w:type="dxa"/>
            <w:tcBorders>
              <w:top w:val="outset" w:color="auto" w:sz="6" w:space="0"/>
              <w:left w:val="outset" w:color="auto" w:sz="6" w:space="0"/>
              <w:bottom w:val="outset" w:color="auto" w:sz="6" w:space="0"/>
              <w:right w:val="outset" w:color="auto" w:sz="6" w:space="0"/>
            </w:tcBorders>
            <w:noWrap w:val="0"/>
            <w:vAlign w:val="center"/>
          </w:tcPr>
          <w:p w14:paraId="106A7D3D">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0FE62079">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33B58B22">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0A284612">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15BC3A2E">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4A1145D8">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3115E7AC">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1F43720B">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5C649753">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6" w:type="dxa"/>
            <w:tcBorders>
              <w:top w:val="outset" w:color="auto" w:sz="6" w:space="0"/>
              <w:left w:val="outset" w:color="auto" w:sz="6" w:space="0"/>
              <w:bottom w:val="outset" w:color="auto" w:sz="6" w:space="0"/>
              <w:right w:val="outset" w:color="auto" w:sz="6" w:space="0"/>
            </w:tcBorders>
            <w:noWrap w:val="0"/>
            <w:vAlign w:val="center"/>
          </w:tcPr>
          <w:p w14:paraId="388F9709">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r>
      <w:tr w14:paraId="774143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8" w:hRule="atLeast"/>
          <w:jc w:val="center"/>
        </w:trPr>
        <w:tc>
          <w:tcPr>
            <w:tcW w:w="965" w:type="dxa"/>
            <w:tcBorders>
              <w:top w:val="outset" w:color="auto" w:sz="6" w:space="0"/>
              <w:left w:val="outset" w:color="auto" w:sz="6" w:space="0"/>
              <w:bottom w:val="outset" w:color="auto" w:sz="6" w:space="0"/>
              <w:right w:val="outset" w:color="auto" w:sz="6" w:space="0"/>
            </w:tcBorders>
            <w:noWrap w:val="0"/>
            <w:vAlign w:val="center"/>
          </w:tcPr>
          <w:p w14:paraId="528C54D7">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3329FE95">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40E74E64">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6218D94D">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56AFD8C5">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65F35091">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35454FCA">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57714370">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08EFF887">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6" w:type="dxa"/>
            <w:tcBorders>
              <w:top w:val="outset" w:color="auto" w:sz="6" w:space="0"/>
              <w:left w:val="outset" w:color="auto" w:sz="6" w:space="0"/>
              <w:bottom w:val="outset" w:color="auto" w:sz="6" w:space="0"/>
              <w:right w:val="outset" w:color="auto" w:sz="6" w:space="0"/>
            </w:tcBorders>
            <w:noWrap w:val="0"/>
            <w:vAlign w:val="center"/>
          </w:tcPr>
          <w:p w14:paraId="4F86BA75">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r>
      <w:tr w14:paraId="2FC92A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8" w:hRule="atLeast"/>
          <w:jc w:val="center"/>
        </w:trPr>
        <w:tc>
          <w:tcPr>
            <w:tcW w:w="965" w:type="dxa"/>
            <w:tcBorders>
              <w:top w:val="outset" w:color="auto" w:sz="6" w:space="0"/>
              <w:left w:val="outset" w:color="auto" w:sz="6" w:space="0"/>
              <w:bottom w:val="outset" w:color="auto" w:sz="6" w:space="0"/>
              <w:right w:val="outset" w:color="auto" w:sz="6" w:space="0"/>
            </w:tcBorders>
            <w:noWrap w:val="0"/>
            <w:vAlign w:val="center"/>
          </w:tcPr>
          <w:p w14:paraId="1C03D79D">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68CE9DF8">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31E2D349">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4891D94E">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21BE3522">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4F059FF5">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5C5811A6">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3FC2F6A0">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3BDF5B7C">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6" w:type="dxa"/>
            <w:tcBorders>
              <w:top w:val="outset" w:color="auto" w:sz="6" w:space="0"/>
              <w:left w:val="outset" w:color="auto" w:sz="6" w:space="0"/>
              <w:bottom w:val="outset" w:color="auto" w:sz="6" w:space="0"/>
              <w:right w:val="outset" w:color="auto" w:sz="6" w:space="0"/>
            </w:tcBorders>
            <w:noWrap w:val="0"/>
            <w:vAlign w:val="center"/>
          </w:tcPr>
          <w:p w14:paraId="06C10AB9">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r>
      <w:tr w14:paraId="123BD4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8" w:hRule="atLeast"/>
          <w:jc w:val="center"/>
        </w:trPr>
        <w:tc>
          <w:tcPr>
            <w:tcW w:w="965" w:type="dxa"/>
            <w:tcBorders>
              <w:top w:val="outset" w:color="auto" w:sz="6" w:space="0"/>
              <w:left w:val="outset" w:color="auto" w:sz="6" w:space="0"/>
              <w:bottom w:val="outset" w:color="auto" w:sz="6" w:space="0"/>
              <w:right w:val="outset" w:color="auto" w:sz="6" w:space="0"/>
            </w:tcBorders>
            <w:noWrap w:val="0"/>
            <w:vAlign w:val="center"/>
          </w:tcPr>
          <w:p w14:paraId="31B0D09B">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44DB625D">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46B4A2DF">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16534334">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73773D38">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72E5FCB4">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21CB1C89">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5237808E">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39FEC3A7">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6" w:type="dxa"/>
            <w:tcBorders>
              <w:top w:val="outset" w:color="auto" w:sz="6" w:space="0"/>
              <w:left w:val="outset" w:color="auto" w:sz="6" w:space="0"/>
              <w:bottom w:val="outset" w:color="auto" w:sz="6" w:space="0"/>
              <w:right w:val="outset" w:color="auto" w:sz="6" w:space="0"/>
            </w:tcBorders>
            <w:noWrap w:val="0"/>
            <w:vAlign w:val="center"/>
          </w:tcPr>
          <w:p w14:paraId="3358C7B5">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r>
      <w:tr w14:paraId="0E87CD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8" w:hRule="atLeast"/>
          <w:jc w:val="center"/>
        </w:trPr>
        <w:tc>
          <w:tcPr>
            <w:tcW w:w="965" w:type="dxa"/>
            <w:tcBorders>
              <w:top w:val="outset" w:color="auto" w:sz="6" w:space="0"/>
              <w:left w:val="outset" w:color="auto" w:sz="6" w:space="0"/>
              <w:bottom w:val="outset" w:color="auto" w:sz="6" w:space="0"/>
              <w:right w:val="outset" w:color="auto" w:sz="6" w:space="0"/>
            </w:tcBorders>
            <w:noWrap w:val="0"/>
            <w:vAlign w:val="center"/>
          </w:tcPr>
          <w:p w14:paraId="2ED59CC3">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2512FF12">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760BD887">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61172286">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77C8456A">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2DBCE22A">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16D7C1BC">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66C41ECF">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262AA4BE">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6" w:type="dxa"/>
            <w:tcBorders>
              <w:top w:val="outset" w:color="auto" w:sz="6" w:space="0"/>
              <w:left w:val="outset" w:color="auto" w:sz="6" w:space="0"/>
              <w:bottom w:val="outset" w:color="auto" w:sz="6" w:space="0"/>
              <w:right w:val="outset" w:color="auto" w:sz="6" w:space="0"/>
            </w:tcBorders>
            <w:noWrap w:val="0"/>
            <w:vAlign w:val="center"/>
          </w:tcPr>
          <w:p w14:paraId="4154325D">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r>
      <w:tr w14:paraId="02F20D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8" w:hRule="atLeast"/>
          <w:jc w:val="center"/>
        </w:trPr>
        <w:tc>
          <w:tcPr>
            <w:tcW w:w="965" w:type="dxa"/>
            <w:tcBorders>
              <w:top w:val="outset" w:color="auto" w:sz="6" w:space="0"/>
              <w:left w:val="outset" w:color="auto" w:sz="6" w:space="0"/>
              <w:bottom w:val="outset" w:color="auto" w:sz="6" w:space="0"/>
              <w:right w:val="outset" w:color="auto" w:sz="6" w:space="0"/>
            </w:tcBorders>
            <w:noWrap w:val="0"/>
            <w:vAlign w:val="center"/>
          </w:tcPr>
          <w:p w14:paraId="1A6D4C6E">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6BBCD270">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0CC7A4A8">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47074007">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2BCE392A">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26429A77">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0AF0906C">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083F3430">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5" w:type="dxa"/>
            <w:tcBorders>
              <w:top w:val="outset" w:color="auto" w:sz="6" w:space="0"/>
              <w:left w:val="outset" w:color="auto" w:sz="6" w:space="0"/>
              <w:bottom w:val="outset" w:color="auto" w:sz="6" w:space="0"/>
              <w:right w:val="outset" w:color="auto" w:sz="6" w:space="0"/>
            </w:tcBorders>
            <w:noWrap w:val="0"/>
            <w:vAlign w:val="center"/>
          </w:tcPr>
          <w:p w14:paraId="0199B97A">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c>
          <w:tcPr>
            <w:tcW w:w="936" w:type="dxa"/>
            <w:tcBorders>
              <w:top w:val="outset" w:color="auto" w:sz="6" w:space="0"/>
              <w:left w:val="outset" w:color="auto" w:sz="6" w:space="0"/>
              <w:bottom w:val="outset" w:color="auto" w:sz="6" w:space="0"/>
              <w:right w:val="outset" w:color="auto" w:sz="6" w:space="0"/>
            </w:tcBorders>
            <w:noWrap w:val="0"/>
            <w:vAlign w:val="center"/>
          </w:tcPr>
          <w:p w14:paraId="1CD0EE4E">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0"/>
                <w:sz w:val="24"/>
                <w:szCs w:val="24"/>
                <w:highlight w:val="none"/>
              </w:rPr>
            </w:pPr>
          </w:p>
        </w:tc>
      </w:tr>
    </w:tbl>
    <w:p w14:paraId="600FA2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eastAsia="宋体" w:cs="宋体"/>
          <w:highlight w:val="none"/>
          <w:lang w:eastAsia="zh-CN"/>
        </w:rPr>
        <w:t>后附相关材料的扫描件。</w:t>
      </w:r>
      <w:r>
        <w:rPr>
          <w:rFonts w:hint="eastAsia" w:ascii="宋体" w:hAnsi="宋体" w:eastAsia="宋体" w:cs="宋体"/>
          <w:b w:val="0"/>
          <w:bCs w:val="0"/>
          <w:sz w:val="24"/>
          <w:szCs w:val="24"/>
          <w:highlight w:val="none"/>
          <w:lang w:val="en-US" w:eastAsia="zh-CN"/>
        </w:rPr>
        <w:br w:type="page"/>
      </w:r>
    </w:p>
    <w:p w14:paraId="50640B9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zh-CN" w:eastAsia="zh-CN"/>
        </w:rPr>
      </w:pPr>
      <w:r>
        <w:rPr>
          <w:rFonts w:hint="eastAsia" w:ascii="宋体" w:hAnsi="宋体" w:eastAsia="宋体" w:cs="宋体"/>
          <w:b/>
          <w:sz w:val="28"/>
          <w:szCs w:val="28"/>
          <w:highlight w:val="none"/>
          <w:lang w:val="zh-CN" w:eastAsia="zh-CN"/>
        </w:rPr>
        <w:t>六、企业获奖</w:t>
      </w:r>
    </w:p>
    <w:p w14:paraId="3860B6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后附相关材料的扫描件（如有）</w:t>
      </w:r>
    </w:p>
    <w:p w14:paraId="7F75C3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p w14:paraId="1A5917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lang w:val="zh-CN" w:eastAsia="zh-CN"/>
        </w:rPr>
      </w:pPr>
    </w:p>
    <w:p w14:paraId="21CE3C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lang w:val="zh-CN" w:eastAsia="zh-CN"/>
        </w:rPr>
      </w:pPr>
    </w:p>
    <w:p w14:paraId="2C78FC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lang w:val="zh-CN" w:eastAsia="zh-CN"/>
        </w:rPr>
      </w:pPr>
    </w:p>
    <w:p w14:paraId="4C525E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lang w:val="zh-CN" w:eastAsia="zh-CN"/>
        </w:rPr>
      </w:pPr>
    </w:p>
    <w:p w14:paraId="477C618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zh-CN" w:eastAsia="zh-CN"/>
        </w:rPr>
      </w:pPr>
      <w:r>
        <w:rPr>
          <w:rFonts w:hint="eastAsia" w:ascii="宋体" w:hAnsi="宋体" w:eastAsia="宋体" w:cs="宋体"/>
          <w:b/>
          <w:sz w:val="28"/>
          <w:szCs w:val="28"/>
          <w:highlight w:val="none"/>
          <w:lang w:val="zh-CN" w:eastAsia="zh-CN"/>
        </w:rPr>
        <w:t>七、企业各类证书</w:t>
      </w:r>
    </w:p>
    <w:p w14:paraId="671218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后附相关材料的扫描件（如有）</w:t>
      </w:r>
    </w:p>
    <w:p w14:paraId="66AA43A3">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br w:type="page"/>
      </w:r>
    </w:p>
    <w:p w14:paraId="7AEB327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八、商务和技术偏差</w:t>
      </w:r>
    </w:p>
    <w:p w14:paraId="7137A45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附件：技术响应表</w:t>
      </w:r>
    </w:p>
    <w:p w14:paraId="0CA1275F">
      <w:pPr>
        <w:spacing w:line="680" w:lineRule="exact"/>
        <w:rPr>
          <w:rFonts w:ascii="宋体" w:hAnsi="宋体" w:eastAsia="宋体" w:cs="宋体"/>
          <w:sz w:val="24"/>
          <w:highlight w:val="none"/>
          <w:u w:val="singl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（加盖公章）项目编号：</w:t>
      </w:r>
      <w:r>
        <w:rPr>
          <w:rFonts w:hint="eastAsia" w:ascii="宋体" w:hAnsi="宋体" w:eastAsia="宋体" w:cs="宋体"/>
          <w:sz w:val="24"/>
          <w:highlight w:val="none"/>
          <w:u w:val="single"/>
          <w:lang w:val="en-US" w:eastAsia="zh-CN"/>
        </w:rPr>
        <w:t xml:space="preserve">           </w:t>
      </w:r>
    </w:p>
    <w:tbl>
      <w:tblPr>
        <w:tblStyle w:val="27"/>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042"/>
        <w:gridCol w:w="2297"/>
        <w:gridCol w:w="2042"/>
        <w:gridCol w:w="2042"/>
      </w:tblGrid>
      <w:tr w14:paraId="1344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67" w:type="dxa"/>
            <w:vAlign w:val="center"/>
          </w:tcPr>
          <w:p w14:paraId="7FADE95E">
            <w:pPr>
              <w:spacing w:line="420" w:lineRule="exact"/>
              <w:jc w:val="center"/>
              <w:rPr>
                <w:rFonts w:ascii="宋体" w:hAnsi="宋体" w:eastAsia="宋体" w:cs="宋体"/>
                <w:sz w:val="24"/>
                <w:highlight w:val="none"/>
              </w:rPr>
            </w:pPr>
            <w:r>
              <w:rPr>
                <w:rFonts w:hint="eastAsia" w:ascii="宋体" w:hAnsi="宋体" w:eastAsia="宋体" w:cs="宋体"/>
                <w:sz w:val="24"/>
                <w:highlight w:val="none"/>
              </w:rPr>
              <w:t>序号</w:t>
            </w:r>
          </w:p>
        </w:tc>
        <w:tc>
          <w:tcPr>
            <w:tcW w:w="2042" w:type="dxa"/>
            <w:vAlign w:val="center"/>
          </w:tcPr>
          <w:p w14:paraId="62229D81">
            <w:pPr>
              <w:spacing w:line="420" w:lineRule="exact"/>
              <w:jc w:val="center"/>
              <w:rPr>
                <w:rFonts w:ascii="宋体" w:hAnsi="宋体" w:eastAsia="宋体" w:cs="宋体"/>
                <w:sz w:val="24"/>
                <w:highlight w:val="none"/>
              </w:rPr>
            </w:pPr>
            <w:r>
              <w:rPr>
                <w:rFonts w:hint="eastAsia" w:ascii="宋体" w:hAnsi="宋体" w:eastAsia="宋体" w:cs="宋体"/>
                <w:sz w:val="24"/>
                <w:highlight w:val="none"/>
                <w:lang w:eastAsia="zh-CN"/>
              </w:rPr>
              <w:t>采购</w:t>
            </w:r>
            <w:r>
              <w:rPr>
                <w:rFonts w:hint="eastAsia" w:ascii="宋体" w:hAnsi="宋体" w:eastAsia="宋体" w:cs="宋体"/>
                <w:sz w:val="24"/>
                <w:highlight w:val="none"/>
              </w:rPr>
              <w:t>文件要求</w:t>
            </w:r>
          </w:p>
        </w:tc>
        <w:tc>
          <w:tcPr>
            <w:tcW w:w="2297" w:type="dxa"/>
            <w:vAlign w:val="center"/>
          </w:tcPr>
          <w:p w14:paraId="7DE1BCC5">
            <w:pPr>
              <w:spacing w:line="420" w:lineRule="exact"/>
              <w:jc w:val="center"/>
              <w:rPr>
                <w:rFonts w:ascii="宋体" w:hAnsi="宋体" w:eastAsia="宋体" w:cs="宋体"/>
                <w:sz w:val="24"/>
                <w:highlight w:val="none"/>
              </w:rPr>
            </w:pP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实际情况</w:t>
            </w:r>
          </w:p>
        </w:tc>
        <w:tc>
          <w:tcPr>
            <w:tcW w:w="2042" w:type="dxa"/>
            <w:vAlign w:val="center"/>
          </w:tcPr>
          <w:p w14:paraId="339AAE1F">
            <w:pPr>
              <w:spacing w:line="420" w:lineRule="exact"/>
              <w:jc w:val="center"/>
              <w:rPr>
                <w:rFonts w:ascii="宋体" w:hAnsi="宋体" w:eastAsia="宋体" w:cs="宋体"/>
                <w:sz w:val="24"/>
                <w:highlight w:val="none"/>
              </w:rPr>
            </w:pPr>
            <w:r>
              <w:rPr>
                <w:rFonts w:hint="eastAsia" w:ascii="宋体" w:hAnsi="宋体" w:eastAsia="宋体" w:cs="宋体"/>
                <w:sz w:val="24"/>
                <w:highlight w:val="none"/>
              </w:rPr>
              <w:t>偏差内容</w:t>
            </w:r>
          </w:p>
        </w:tc>
        <w:tc>
          <w:tcPr>
            <w:tcW w:w="2042" w:type="dxa"/>
            <w:vAlign w:val="center"/>
          </w:tcPr>
          <w:p w14:paraId="2D3D1B02">
            <w:pPr>
              <w:spacing w:line="420" w:lineRule="exact"/>
              <w:jc w:val="center"/>
              <w:rPr>
                <w:rFonts w:ascii="宋体" w:hAnsi="宋体" w:eastAsia="宋体" w:cs="宋体"/>
                <w:sz w:val="24"/>
                <w:highlight w:val="none"/>
              </w:rPr>
            </w:pPr>
            <w:r>
              <w:rPr>
                <w:rFonts w:hint="eastAsia" w:ascii="宋体" w:hAnsi="宋体" w:eastAsia="宋体" w:cs="宋体"/>
                <w:sz w:val="24"/>
                <w:highlight w:val="none"/>
              </w:rPr>
              <w:t>说明（正偏离/负偏离/无偏离）</w:t>
            </w:r>
          </w:p>
        </w:tc>
      </w:tr>
      <w:tr w14:paraId="0FE3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67" w:type="dxa"/>
          </w:tcPr>
          <w:p w14:paraId="6A675B33">
            <w:pPr>
              <w:spacing w:line="680" w:lineRule="exact"/>
              <w:rPr>
                <w:rFonts w:ascii="宋体" w:hAnsi="宋体" w:eastAsia="宋体" w:cs="宋体"/>
                <w:sz w:val="24"/>
                <w:highlight w:val="none"/>
              </w:rPr>
            </w:pPr>
          </w:p>
        </w:tc>
        <w:tc>
          <w:tcPr>
            <w:tcW w:w="2042" w:type="dxa"/>
          </w:tcPr>
          <w:p w14:paraId="7ACB5040">
            <w:pPr>
              <w:spacing w:line="680" w:lineRule="exact"/>
              <w:rPr>
                <w:rFonts w:ascii="宋体" w:hAnsi="宋体" w:eastAsia="宋体" w:cs="宋体"/>
                <w:sz w:val="24"/>
                <w:highlight w:val="none"/>
              </w:rPr>
            </w:pPr>
          </w:p>
        </w:tc>
        <w:tc>
          <w:tcPr>
            <w:tcW w:w="2297" w:type="dxa"/>
          </w:tcPr>
          <w:p w14:paraId="45EB8C26">
            <w:pPr>
              <w:spacing w:line="680" w:lineRule="exact"/>
              <w:rPr>
                <w:rFonts w:ascii="宋体" w:hAnsi="宋体" w:eastAsia="宋体" w:cs="宋体"/>
                <w:sz w:val="24"/>
                <w:highlight w:val="none"/>
              </w:rPr>
            </w:pPr>
          </w:p>
        </w:tc>
        <w:tc>
          <w:tcPr>
            <w:tcW w:w="2042" w:type="dxa"/>
          </w:tcPr>
          <w:p w14:paraId="44004DD4">
            <w:pPr>
              <w:spacing w:line="680" w:lineRule="exact"/>
              <w:rPr>
                <w:rFonts w:ascii="宋体" w:hAnsi="宋体" w:eastAsia="宋体" w:cs="宋体"/>
                <w:sz w:val="24"/>
                <w:highlight w:val="none"/>
              </w:rPr>
            </w:pPr>
          </w:p>
        </w:tc>
        <w:tc>
          <w:tcPr>
            <w:tcW w:w="2042" w:type="dxa"/>
          </w:tcPr>
          <w:p w14:paraId="34916BA9">
            <w:pPr>
              <w:spacing w:line="680" w:lineRule="exact"/>
              <w:rPr>
                <w:rFonts w:ascii="宋体" w:hAnsi="宋体" w:eastAsia="宋体" w:cs="宋体"/>
                <w:sz w:val="24"/>
                <w:highlight w:val="none"/>
              </w:rPr>
            </w:pPr>
          </w:p>
        </w:tc>
      </w:tr>
      <w:tr w14:paraId="5BBC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67" w:type="dxa"/>
          </w:tcPr>
          <w:p w14:paraId="2608B935">
            <w:pPr>
              <w:spacing w:line="680" w:lineRule="exact"/>
              <w:rPr>
                <w:rFonts w:ascii="宋体" w:hAnsi="宋体" w:eastAsia="宋体" w:cs="宋体"/>
                <w:sz w:val="24"/>
                <w:highlight w:val="none"/>
              </w:rPr>
            </w:pPr>
          </w:p>
        </w:tc>
        <w:tc>
          <w:tcPr>
            <w:tcW w:w="2042" w:type="dxa"/>
          </w:tcPr>
          <w:p w14:paraId="09DB6A72">
            <w:pPr>
              <w:spacing w:line="680" w:lineRule="exact"/>
              <w:rPr>
                <w:rFonts w:ascii="宋体" w:hAnsi="宋体" w:eastAsia="宋体" w:cs="宋体"/>
                <w:sz w:val="24"/>
                <w:highlight w:val="none"/>
              </w:rPr>
            </w:pPr>
          </w:p>
        </w:tc>
        <w:tc>
          <w:tcPr>
            <w:tcW w:w="2297" w:type="dxa"/>
          </w:tcPr>
          <w:p w14:paraId="1E5138D7">
            <w:pPr>
              <w:spacing w:line="680" w:lineRule="exact"/>
              <w:rPr>
                <w:rFonts w:ascii="宋体" w:hAnsi="宋体" w:eastAsia="宋体" w:cs="宋体"/>
                <w:sz w:val="24"/>
                <w:highlight w:val="none"/>
              </w:rPr>
            </w:pPr>
          </w:p>
        </w:tc>
        <w:tc>
          <w:tcPr>
            <w:tcW w:w="2042" w:type="dxa"/>
          </w:tcPr>
          <w:p w14:paraId="177BC95B">
            <w:pPr>
              <w:spacing w:line="680" w:lineRule="exact"/>
              <w:rPr>
                <w:rFonts w:ascii="宋体" w:hAnsi="宋体" w:eastAsia="宋体" w:cs="宋体"/>
                <w:sz w:val="24"/>
                <w:highlight w:val="none"/>
              </w:rPr>
            </w:pPr>
          </w:p>
        </w:tc>
        <w:tc>
          <w:tcPr>
            <w:tcW w:w="2042" w:type="dxa"/>
          </w:tcPr>
          <w:p w14:paraId="54D20E74">
            <w:pPr>
              <w:spacing w:line="680" w:lineRule="exact"/>
              <w:rPr>
                <w:rFonts w:ascii="宋体" w:hAnsi="宋体" w:eastAsia="宋体" w:cs="宋体"/>
                <w:sz w:val="24"/>
                <w:highlight w:val="none"/>
              </w:rPr>
            </w:pPr>
          </w:p>
        </w:tc>
      </w:tr>
      <w:tr w14:paraId="1253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67" w:type="dxa"/>
          </w:tcPr>
          <w:p w14:paraId="58C9561A">
            <w:pPr>
              <w:spacing w:line="680" w:lineRule="exact"/>
              <w:rPr>
                <w:rFonts w:ascii="宋体" w:hAnsi="宋体" w:eastAsia="宋体" w:cs="宋体"/>
                <w:sz w:val="24"/>
                <w:highlight w:val="none"/>
              </w:rPr>
            </w:pPr>
          </w:p>
        </w:tc>
        <w:tc>
          <w:tcPr>
            <w:tcW w:w="2042" w:type="dxa"/>
          </w:tcPr>
          <w:p w14:paraId="372A805D">
            <w:pPr>
              <w:spacing w:line="680" w:lineRule="exact"/>
              <w:rPr>
                <w:rFonts w:ascii="宋体" w:hAnsi="宋体" w:eastAsia="宋体" w:cs="宋体"/>
                <w:sz w:val="24"/>
                <w:highlight w:val="none"/>
              </w:rPr>
            </w:pPr>
          </w:p>
        </w:tc>
        <w:tc>
          <w:tcPr>
            <w:tcW w:w="2297" w:type="dxa"/>
          </w:tcPr>
          <w:p w14:paraId="170D90FE">
            <w:pPr>
              <w:spacing w:line="680" w:lineRule="exact"/>
              <w:rPr>
                <w:rFonts w:ascii="宋体" w:hAnsi="宋体" w:eastAsia="宋体" w:cs="宋体"/>
                <w:sz w:val="24"/>
                <w:highlight w:val="none"/>
              </w:rPr>
            </w:pPr>
          </w:p>
        </w:tc>
        <w:tc>
          <w:tcPr>
            <w:tcW w:w="2042" w:type="dxa"/>
          </w:tcPr>
          <w:p w14:paraId="41D8479D">
            <w:pPr>
              <w:spacing w:line="680" w:lineRule="exact"/>
              <w:rPr>
                <w:rFonts w:ascii="宋体" w:hAnsi="宋体" w:eastAsia="宋体" w:cs="宋体"/>
                <w:sz w:val="24"/>
                <w:highlight w:val="none"/>
              </w:rPr>
            </w:pPr>
          </w:p>
        </w:tc>
        <w:tc>
          <w:tcPr>
            <w:tcW w:w="2042" w:type="dxa"/>
          </w:tcPr>
          <w:p w14:paraId="4FBF9B1A">
            <w:pPr>
              <w:spacing w:line="680" w:lineRule="exact"/>
              <w:rPr>
                <w:rFonts w:ascii="宋体" w:hAnsi="宋体" w:eastAsia="宋体" w:cs="宋体"/>
                <w:sz w:val="24"/>
                <w:highlight w:val="none"/>
              </w:rPr>
            </w:pPr>
          </w:p>
        </w:tc>
      </w:tr>
    </w:tbl>
    <w:p w14:paraId="2D7AC3BC">
      <w:pPr>
        <w:spacing w:line="500" w:lineRule="exact"/>
        <w:jc w:val="center"/>
        <w:outlineLvl w:val="0"/>
        <w:rPr>
          <w:rFonts w:ascii="宋体" w:hAnsi="宋体" w:eastAsia="宋体" w:cs="宋体"/>
          <w:b/>
          <w:sz w:val="36"/>
          <w:szCs w:val="36"/>
          <w:highlight w:val="none"/>
        </w:rPr>
      </w:pPr>
    </w:p>
    <w:p w14:paraId="06EAD24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附件：商务响应表</w:t>
      </w:r>
    </w:p>
    <w:p w14:paraId="757A6C6D">
      <w:pPr>
        <w:spacing w:line="680" w:lineRule="exact"/>
        <w:rPr>
          <w:rFonts w:ascii="宋体" w:hAnsi="宋体" w:eastAsia="宋体" w:cs="宋体"/>
          <w:highlight w:val="none"/>
          <w:u w:val="singl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（加盖公章）项目编号：</w:t>
      </w:r>
      <w:r>
        <w:rPr>
          <w:rFonts w:hint="eastAsia" w:ascii="宋体" w:hAnsi="宋体" w:eastAsia="宋体" w:cs="宋体"/>
          <w:sz w:val="24"/>
          <w:highlight w:val="none"/>
          <w:u w:val="single"/>
          <w:lang w:val="en-US" w:eastAsia="zh-CN"/>
        </w:rPr>
        <w:t xml:space="preserve">           </w:t>
      </w:r>
    </w:p>
    <w:tbl>
      <w:tblPr>
        <w:tblStyle w:val="27"/>
        <w:tblW w:w="9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168"/>
        <w:gridCol w:w="2168"/>
        <w:gridCol w:w="2168"/>
        <w:gridCol w:w="2168"/>
      </w:tblGrid>
      <w:tr w14:paraId="78A2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814" w:type="dxa"/>
            <w:vAlign w:val="center"/>
          </w:tcPr>
          <w:p w14:paraId="40C502E2">
            <w:pPr>
              <w:spacing w:line="420" w:lineRule="exact"/>
              <w:jc w:val="center"/>
              <w:rPr>
                <w:rFonts w:ascii="宋体" w:hAnsi="宋体" w:eastAsia="宋体" w:cs="宋体"/>
                <w:sz w:val="24"/>
                <w:highlight w:val="none"/>
              </w:rPr>
            </w:pPr>
            <w:r>
              <w:rPr>
                <w:rFonts w:hint="eastAsia" w:ascii="宋体" w:hAnsi="宋体" w:eastAsia="宋体" w:cs="宋体"/>
                <w:sz w:val="24"/>
                <w:highlight w:val="none"/>
              </w:rPr>
              <w:t>序号</w:t>
            </w:r>
          </w:p>
        </w:tc>
        <w:tc>
          <w:tcPr>
            <w:tcW w:w="2168" w:type="dxa"/>
            <w:vAlign w:val="center"/>
          </w:tcPr>
          <w:p w14:paraId="657CD7EF">
            <w:pPr>
              <w:spacing w:line="420" w:lineRule="exact"/>
              <w:jc w:val="center"/>
              <w:rPr>
                <w:rFonts w:ascii="宋体" w:hAnsi="宋体" w:eastAsia="宋体" w:cs="宋体"/>
                <w:sz w:val="24"/>
                <w:highlight w:val="none"/>
              </w:rPr>
            </w:pPr>
            <w:r>
              <w:rPr>
                <w:rFonts w:hint="eastAsia" w:ascii="宋体" w:hAnsi="宋体" w:eastAsia="宋体" w:cs="宋体"/>
                <w:sz w:val="24"/>
                <w:highlight w:val="none"/>
                <w:lang w:eastAsia="zh-CN"/>
              </w:rPr>
              <w:t>采购</w:t>
            </w:r>
            <w:r>
              <w:rPr>
                <w:rFonts w:hint="eastAsia" w:ascii="宋体" w:hAnsi="宋体" w:eastAsia="宋体" w:cs="宋体"/>
                <w:sz w:val="24"/>
                <w:highlight w:val="none"/>
              </w:rPr>
              <w:t>文件要求</w:t>
            </w:r>
          </w:p>
        </w:tc>
        <w:tc>
          <w:tcPr>
            <w:tcW w:w="2168" w:type="dxa"/>
            <w:vAlign w:val="center"/>
          </w:tcPr>
          <w:p w14:paraId="57C1C1E3">
            <w:pPr>
              <w:spacing w:line="420" w:lineRule="exact"/>
              <w:jc w:val="center"/>
              <w:rPr>
                <w:rFonts w:ascii="宋体" w:hAnsi="宋体" w:eastAsia="宋体" w:cs="宋体"/>
                <w:sz w:val="24"/>
                <w:highlight w:val="none"/>
              </w:rPr>
            </w:pP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实际情况</w:t>
            </w:r>
          </w:p>
        </w:tc>
        <w:tc>
          <w:tcPr>
            <w:tcW w:w="2168" w:type="dxa"/>
            <w:vAlign w:val="center"/>
          </w:tcPr>
          <w:p w14:paraId="32BD5661">
            <w:pPr>
              <w:spacing w:line="420" w:lineRule="exact"/>
              <w:jc w:val="center"/>
              <w:rPr>
                <w:rFonts w:ascii="宋体" w:hAnsi="宋体" w:eastAsia="宋体" w:cs="宋体"/>
                <w:sz w:val="24"/>
                <w:highlight w:val="none"/>
              </w:rPr>
            </w:pPr>
            <w:r>
              <w:rPr>
                <w:rFonts w:hint="eastAsia" w:ascii="宋体" w:hAnsi="宋体" w:eastAsia="宋体" w:cs="宋体"/>
                <w:sz w:val="24"/>
                <w:highlight w:val="none"/>
              </w:rPr>
              <w:t>偏差内容</w:t>
            </w:r>
          </w:p>
        </w:tc>
        <w:tc>
          <w:tcPr>
            <w:tcW w:w="2168" w:type="dxa"/>
            <w:vAlign w:val="center"/>
          </w:tcPr>
          <w:p w14:paraId="6C16C535">
            <w:pPr>
              <w:spacing w:line="420" w:lineRule="exact"/>
              <w:jc w:val="center"/>
              <w:rPr>
                <w:rFonts w:ascii="宋体" w:hAnsi="宋体" w:eastAsia="宋体" w:cs="宋体"/>
                <w:sz w:val="24"/>
                <w:highlight w:val="none"/>
              </w:rPr>
            </w:pPr>
            <w:r>
              <w:rPr>
                <w:rFonts w:hint="eastAsia" w:ascii="宋体" w:hAnsi="宋体" w:eastAsia="宋体" w:cs="宋体"/>
                <w:sz w:val="24"/>
                <w:highlight w:val="none"/>
              </w:rPr>
              <w:t>说明（正偏离/负偏离/无偏离）</w:t>
            </w:r>
          </w:p>
        </w:tc>
      </w:tr>
      <w:tr w14:paraId="45A2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814" w:type="dxa"/>
          </w:tcPr>
          <w:p w14:paraId="0B2A9FF2">
            <w:pPr>
              <w:spacing w:line="680" w:lineRule="exact"/>
              <w:rPr>
                <w:rFonts w:ascii="宋体" w:hAnsi="宋体" w:eastAsia="宋体" w:cs="宋体"/>
                <w:sz w:val="24"/>
                <w:highlight w:val="none"/>
              </w:rPr>
            </w:pPr>
          </w:p>
        </w:tc>
        <w:tc>
          <w:tcPr>
            <w:tcW w:w="2168" w:type="dxa"/>
          </w:tcPr>
          <w:p w14:paraId="3CA07361">
            <w:pPr>
              <w:spacing w:line="680" w:lineRule="exact"/>
              <w:rPr>
                <w:rFonts w:ascii="宋体" w:hAnsi="宋体" w:eastAsia="宋体" w:cs="宋体"/>
                <w:sz w:val="24"/>
                <w:highlight w:val="none"/>
              </w:rPr>
            </w:pPr>
          </w:p>
        </w:tc>
        <w:tc>
          <w:tcPr>
            <w:tcW w:w="2168" w:type="dxa"/>
          </w:tcPr>
          <w:p w14:paraId="73083CD6">
            <w:pPr>
              <w:spacing w:line="680" w:lineRule="exact"/>
              <w:rPr>
                <w:rFonts w:ascii="宋体" w:hAnsi="宋体" w:eastAsia="宋体" w:cs="宋体"/>
                <w:sz w:val="24"/>
                <w:highlight w:val="none"/>
              </w:rPr>
            </w:pPr>
          </w:p>
        </w:tc>
        <w:tc>
          <w:tcPr>
            <w:tcW w:w="2168" w:type="dxa"/>
          </w:tcPr>
          <w:p w14:paraId="22FECC0B">
            <w:pPr>
              <w:spacing w:line="680" w:lineRule="exact"/>
              <w:rPr>
                <w:rFonts w:ascii="宋体" w:hAnsi="宋体" w:eastAsia="宋体" w:cs="宋体"/>
                <w:sz w:val="24"/>
                <w:highlight w:val="none"/>
              </w:rPr>
            </w:pPr>
          </w:p>
        </w:tc>
        <w:tc>
          <w:tcPr>
            <w:tcW w:w="2168" w:type="dxa"/>
          </w:tcPr>
          <w:p w14:paraId="7B8CE013">
            <w:pPr>
              <w:spacing w:line="680" w:lineRule="exact"/>
              <w:rPr>
                <w:rFonts w:ascii="宋体" w:hAnsi="宋体" w:eastAsia="宋体" w:cs="宋体"/>
                <w:sz w:val="24"/>
                <w:highlight w:val="none"/>
              </w:rPr>
            </w:pPr>
          </w:p>
        </w:tc>
      </w:tr>
      <w:tr w14:paraId="056E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814" w:type="dxa"/>
          </w:tcPr>
          <w:p w14:paraId="61C13194">
            <w:pPr>
              <w:spacing w:line="680" w:lineRule="exact"/>
              <w:rPr>
                <w:rFonts w:ascii="宋体" w:hAnsi="宋体" w:eastAsia="宋体" w:cs="宋体"/>
                <w:sz w:val="24"/>
                <w:highlight w:val="none"/>
              </w:rPr>
            </w:pPr>
          </w:p>
        </w:tc>
        <w:tc>
          <w:tcPr>
            <w:tcW w:w="2168" w:type="dxa"/>
          </w:tcPr>
          <w:p w14:paraId="37284BB5">
            <w:pPr>
              <w:spacing w:line="680" w:lineRule="exact"/>
              <w:rPr>
                <w:rFonts w:ascii="宋体" w:hAnsi="宋体" w:eastAsia="宋体" w:cs="宋体"/>
                <w:sz w:val="24"/>
                <w:highlight w:val="none"/>
              </w:rPr>
            </w:pPr>
          </w:p>
        </w:tc>
        <w:tc>
          <w:tcPr>
            <w:tcW w:w="2168" w:type="dxa"/>
          </w:tcPr>
          <w:p w14:paraId="1F1B4B33">
            <w:pPr>
              <w:spacing w:line="680" w:lineRule="exact"/>
              <w:rPr>
                <w:rFonts w:ascii="宋体" w:hAnsi="宋体" w:eastAsia="宋体" w:cs="宋体"/>
                <w:sz w:val="24"/>
                <w:highlight w:val="none"/>
              </w:rPr>
            </w:pPr>
          </w:p>
        </w:tc>
        <w:tc>
          <w:tcPr>
            <w:tcW w:w="2168" w:type="dxa"/>
          </w:tcPr>
          <w:p w14:paraId="1D46509A">
            <w:pPr>
              <w:spacing w:line="680" w:lineRule="exact"/>
              <w:rPr>
                <w:rFonts w:ascii="宋体" w:hAnsi="宋体" w:eastAsia="宋体" w:cs="宋体"/>
                <w:sz w:val="24"/>
                <w:highlight w:val="none"/>
              </w:rPr>
            </w:pPr>
          </w:p>
        </w:tc>
        <w:tc>
          <w:tcPr>
            <w:tcW w:w="2168" w:type="dxa"/>
          </w:tcPr>
          <w:p w14:paraId="6B294282">
            <w:pPr>
              <w:spacing w:line="680" w:lineRule="exact"/>
              <w:rPr>
                <w:rFonts w:ascii="宋体" w:hAnsi="宋体" w:eastAsia="宋体" w:cs="宋体"/>
                <w:sz w:val="24"/>
                <w:highlight w:val="none"/>
              </w:rPr>
            </w:pPr>
          </w:p>
        </w:tc>
      </w:tr>
      <w:tr w14:paraId="4AF0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814" w:type="dxa"/>
          </w:tcPr>
          <w:p w14:paraId="21CFC2C2">
            <w:pPr>
              <w:spacing w:line="680" w:lineRule="exact"/>
              <w:rPr>
                <w:rFonts w:ascii="宋体" w:hAnsi="宋体" w:eastAsia="宋体" w:cs="宋体"/>
                <w:sz w:val="24"/>
                <w:highlight w:val="none"/>
              </w:rPr>
            </w:pPr>
          </w:p>
        </w:tc>
        <w:tc>
          <w:tcPr>
            <w:tcW w:w="2168" w:type="dxa"/>
          </w:tcPr>
          <w:p w14:paraId="1A6F9CB7">
            <w:pPr>
              <w:spacing w:line="680" w:lineRule="exact"/>
              <w:rPr>
                <w:rFonts w:ascii="宋体" w:hAnsi="宋体" w:eastAsia="宋体" w:cs="宋体"/>
                <w:sz w:val="24"/>
                <w:highlight w:val="none"/>
              </w:rPr>
            </w:pPr>
          </w:p>
        </w:tc>
        <w:tc>
          <w:tcPr>
            <w:tcW w:w="2168" w:type="dxa"/>
          </w:tcPr>
          <w:p w14:paraId="3910B402">
            <w:pPr>
              <w:spacing w:line="680" w:lineRule="exact"/>
              <w:rPr>
                <w:rFonts w:ascii="宋体" w:hAnsi="宋体" w:eastAsia="宋体" w:cs="宋体"/>
                <w:sz w:val="24"/>
                <w:highlight w:val="none"/>
              </w:rPr>
            </w:pPr>
          </w:p>
        </w:tc>
        <w:tc>
          <w:tcPr>
            <w:tcW w:w="2168" w:type="dxa"/>
          </w:tcPr>
          <w:p w14:paraId="5E3C00C8">
            <w:pPr>
              <w:spacing w:line="680" w:lineRule="exact"/>
              <w:rPr>
                <w:rFonts w:ascii="宋体" w:hAnsi="宋体" w:eastAsia="宋体" w:cs="宋体"/>
                <w:sz w:val="24"/>
                <w:highlight w:val="none"/>
              </w:rPr>
            </w:pPr>
          </w:p>
        </w:tc>
        <w:tc>
          <w:tcPr>
            <w:tcW w:w="2168" w:type="dxa"/>
          </w:tcPr>
          <w:p w14:paraId="77EF7961">
            <w:pPr>
              <w:spacing w:line="680" w:lineRule="exact"/>
              <w:rPr>
                <w:rFonts w:ascii="宋体" w:hAnsi="宋体" w:eastAsia="宋体" w:cs="宋体"/>
                <w:sz w:val="24"/>
                <w:highlight w:val="none"/>
              </w:rPr>
            </w:pPr>
          </w:p>
        </w:tc>
      </w:tr>
    </w:tbl>
    <w:p w14:paraId="7D9AA5BB">
      <w:pPr>
        <w:rPr>
          <w:rFonts w:hint="eastAsia" w:ascii="宋体" w:hAnsi="宋体" w:eastAsia="宋体" w:cs="宋体"/>
          <w:b w:val="0"/>
          <w:bCs w:val="0"/>
          <w:sz w:val="24"/>
          <w:szCs w:val="24"/>
          <w:highlight w:val="none"/>
          <w:lang w:val="en-US" w:eastAsia="zh-CN"/>
        </w:rPr>
      </w:pPr>
    </w:p>
    <w:bookmarkEnd w:id="18"/>
    <w:p w14:paraId="30151466">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sz w:val="28"/>
          <w:szCs w:val="28"/>
          <w:highlight w:val="none"/>
          <w:lang w:val="en-US" w:eastAsia="zh-CN"/>
        </w:rPr>
      </w:pPr>
    </w:p>
    <w:p w14:paraId="6063D6E1">
      <w:pP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14:paraId="6323D5A9">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highlight w:val="none"/>
        </w:rPr>
      </w:pPr>
      <w:r>
        <w:rPr>
          <w:rFonts w:hint="eastAsia" w:ascii="宋体" w:hAnsi="宋体" w:eastAsia="宋体" w:cs="宋体"/>
          <w:b/>
          <w:sz w:val="28"/>
          <w:szCs w:val="28"/>
          <w:highlight w:val="none"/>
          <w:lang w:val="en-US" w:eastAsia="zh-CN"/>
        </w:rPr>
        <w:t>九、投标所需其他材料</w:t>
      </w:r>
    </w:p>
    <w:p w14:paraId="5A971232">
      <w:pPr>
        <w:jc w:val="center"/>
        <w:rPr>
          <w:rFonts w:ascii="宋体" w:cs="宋体"/>
          <w:b/>
          <w:sz w:val="30"/>
          <w:szCs w:val="30"/>
        </w:rPr>
      </w:pPr>
      <w:r>
        <w:rPr>
          <w:rFonts w:hint="eastAsia" w:ascii="宋体" w:hAnsi="宋体" w:eastAsia="宋体" w:cs="宋体"/>
          <w:b/>
          <w:bCs/>
          <w:sz w:val="28"/>
          <w:szCs w:val="28"/>
        </w:rPr>
        <w:t>附件：</w:t>
      </w:r>
      <w:r>
        <w:rPr>
          <w:rFonts w:hint="eastAsia" w:ascii="宋体" w:hAnsi="宋体" w:eastAsia="宋体" w:cs="宋体"/>
          <w:b/>
          <w:bCs/>
          <w:sz w:val="28"/>
          <w:szCs w:val="28"/>
          <w:lang w:eastAsia="zh-CN"/>
        </w:rPr>
        <w:t>基本开户许可证或</w:t>
      </w:r>
      <w:r>
        <w:rPr>
          <w:rFonts w:hint="eastAsia" w:ascii="宋体" w:hAnsi="宋体" w:eastAsia="宋体" w:cs="宋体"/>
          <w:b/>
          <w:bCs/>
          <w:sz w:val="28"/>
          <w:szCs w:val="28"/>
        </w:rPr>
        <w:t>基本存款账户承诺书</w:t>
      </w:r>
    </w:p>
    <w:p w14:paraId="1317C88F">
      <w:pPr>
        <w:pStyle w:val="52"/>
        <w:rPr>
          <w:rFonts w:ascii="宋体" w:hAnsi="宋体" w:eastAsia="宋体"/>
        </w:rPr>
      </w:pPr>
    </w:p>
    <w:p w14:paraId="772E861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2"/>
          <w:lang w:val="zh-CN"/>
        </w:rPr>
      </w:pPr>
      <w:r>
        <w:rPr>
          <w:rFonts w:hint="eastAsia" w:ascii="宋体" w:hAnsi="宋体" w:eastAsia="宋体" w:cs="宋体"/>
          <w:sz w:val="24"/>
          <w:szCs w:val="22"/>
          <w:lang w:val="zh-CN"/>
        </w:rPr>
        <w:t>根据银发【2019】41号文件《中国人民银行关于取消企业银行账户许可的通知》，我单位已无法办理银行开户许可证证件，特使用银行账户管理系统内打印的《基本存款账户信息》及本承诺书作为法律效力的同等替代。</w:t>
      </w:r>
    </w:p>
    <w:p w14:paraId="1D27757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2"/>
          <w:lang w:val="zh-CN"/>
        </w:rPr>
      </w:pPr>
      <w:r>
        <w:rPr>
          <w:rFonts w:hint="eastAsia" w:ascii="宋体" w:hAnsi="宋体" w:eastAsia="宋体" w:cs="宋体"/>
          <w:sz w:val="24"/>
          <w:szCs w:val="22"/>
          <w:lang w:val="zh-CN"/>
        </w:rPr>
        <w:t>我公司保证基本存款账户信息的准确性，承诺相关信息变更后及时在贵单位诚信库进行更新，同意承担基本存款账户变更后仍虚假使用此账户作为基本存款账户参与招投标项目评审的违法违规行为的法律后果，并对因更新不及时产生的其他法律后果负责。</w:t>
      </w:r>
    </w:p>
    <w:p w14:paraId="2E0C067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2"/>
          <w:lang w:val="zh-CN"/>
        </w:rPr>
      </w:pPr>
      <w:r>
        <w:rPr>
          <w:rFonts w:hint="eastAsia" w:ascii="宋体" w:hAnsi="宋体" w:eastAsia="宋体" w:cs="宋体"/>
          <w:sz w:val="24"/>
          <w:szCs w:val="22"/>
          <w:lang w:val="zh-CN"/>
        </w:rPr>
        <w:t>账户名称：</w:t>
      </w:r>
    </w:p>
    <w:p w14:paraId="3C676A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2"/>
          <w:lang w:val="zh-CN"/>
        </w:rPr>
      </w:pPr>
      <w:r>
        <w:rPr>
          <w:rFonts w:hint="eastAsia" w:ascii="宋体" w:hAnsi="宋体" w:eastAsia="宋体" w:cs="宋体"/>
          <w:sz w:val="24"/>
          <w:szCs w:val="22"/>
          <w:lang w:val="zh-CN"/>
        </w:rPr>
        <w:t>账户号码：</w:t>
      </w:r>
    </w:p>
    <w:p w14:paraId="7E6CEAF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2"/>
          <w:lang w:val="zh-CN"/>
        </w:rPr>
      </w:pPr>
      <w:r>
        <w:rPr>
          <w:rFonts w:hint="eastAsia" w:ascii="宋体" w:hAnsi="宋体" w:eastAsia="宋体" w:cs="宋体"/>
          <w:sz w:val="24"/>
          <w:szCs w:val="22"/>
          <w:lang w:val="zh-CN"/>
        </w:rPr>
        <w:t>开户银行：</w:t>
      </w:r>
    </w:p>
    <w:p w14:paraId="0019977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2"/>
          <w:lang w:val="zh-CN"/>
        </w:rPr>
      </w:pPr>
      <w:r>
        <w:rPr>
          <w:rFonts w:hint="eastAsia" w:ascii="宋体" w:hAnsi="宋体" w:eastAsia="宋体" w:cs="宋体"/>
          <w:sz w:val="24"/>
          <w:szCs w:val="22"/>
          <w:lang w:val="zh-CN"/>
        </w:rPr>
        <w:t>基本存款账户编号：</w:t>
      </w:r>
    </w:p>
    <w:p w14:paraId="6FDF039B">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         </w:t>
      </w:r>
    </w:p>
    <w:p w14:paraId="25FF3EAB">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宋体" w:hAnsi="宋体" w:eastAsia="宋体" w:cs="宋体"/>
          <w:sz w:val="24"/>
          <w:szCs w:val="22"/>
          <w:lang w:val="zh-CN"/>
        </w:rPr>
      </w:pPr>
      <w:r>
        <w:rPr>
          <w:rFonts w:hint="eastAsia" w:ascii="宋体" w:hAnsi="宋体" w:eastAsia="宋体" w:cs="宋体"/>
          <w:sz w:val="24"/>
          <w:szCs w:val="22"/>
          <w:lang w:val="en-US" w:eastAsia="zh-CN"/>
        </w:rPr>
        <w:t xml:space="preserve">                </w:t>
      </w:r>
      <w:r>
        <w:rPr>
          <w:rFonts w:hint="eastAsia" w:ascii="宋体" w:hAnsi="宋体" w:eastAsia="宋体" w:cs="宋体"/>
          <w:sz w:val="24"/>
          <w:szCs w:val="22"/>
          <w:lang w:val="zh-CN"/>
        </w:rPr>
        <w:t>法定代表人（签字或盖章）：</w:t>
      </w:r>
    </w:p>
    <w:p w14:paraId="07EF5931">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宋体" w:hAnsi="宋体" w:eastAsia="宋体" w:cs="宋体"/>
          <w:sz w:val="24"/>
          <w:szCs w:val="22"/>
          <w:lang w:val="zh-CN"/>
        </w:rPr>
      </w:pPr>
      <w:r>
        <w:rPr>
          <w:rFonts w:hint="eastAsia" w:ascii="宋体" w:hAnsi="宋体" w:eastAsia="宋体" w:cs="宋体"/>
          <w:sz w:val="24"/>
          <w:szCs w:val="22"/>
          <w:lang w:val="en-US" w:eastAsia="zh-CN"/>
        </w:rPr>
        <w:t xml:space="preserve">                        </w:t>
      </w:r>
      <w:r>
        <w:rPr>
          <w:rFonts w:hint="eastAsia" w:ascii="宋体" w:hAnsi="宋体" w:eastAsia="宋体" w:cs="宋体"/>
          <w:sz w:val="24"/>
          <w:szCs w:val="22"/>
          <w:lang w:val="zh-CN"/>
        </w:rPr>
        <w:t>承诺公司（盖章）：</w:t>
      </w:r>
    </w:p>
    <w:p w14:paraId="7657B788">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right"/>
        <w:textAlignment w:val="auto"/>
        <w:rPr>
          <w:rFonts w:hint="eastAsia" w:ascii="宋体" w:hAnsi="宋体" w:eastAsia="宋体" w:cs="宋体"/>
          <w:sz w:val="24"/>
          <w:szCs w:val="22"/>
          <w:lang w:val="zh-CN"/>
        </w:rPr>
      </w:pPr>
      <w:r>
        <w:rPr>
          <w:rFonts w:hint="eastAsia" w:ascii="宋体" w:hAnsi="宋体" w:eastAsia="宋体" w:cs="宋体"/>
          <w:sz w:val="24"/>
          <w:szCs w:val="22"/>
          <w:lang w:val="en-US" w:eastAsia="zh-CN"/>
        </w:rPr>
        <w:t xml:space="preserve">                          </w:t>
      </w:r>
      <w:r>
        <w:rPr>
          <w:rFonts w:hint="eastAsia" w:ascii="宋体" w:hAnsi="宋体" w:eastAsia="宋体" w:cs="宋体"/>
          <w:sz w:val="24"/>
          <w:szCs w:val="22"/>
          <w:lang w:val="zh-CN"/>
        </w:rPr>
        <w:t>年    月    日</w:t>
      </w:r>
    </w:p>
    <w:p w14:paraId="292F68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cs="宋体"/>
          <w:sz w:val="24"/>
          <w:szCs w:val="22"/>
          <w:lang w:val="zh-CN"/>
        </w:rPr>
        <w:t>另附：银行账户信息系统打印的《基本存款账户信息》。</w:t>
      </w:r>
      <w:r>
        <w:rPr>
          <w:rFonts w:hint="eastAsia" w:ascii="宋体" w:hAnsi="宋体" w:eastAsia="宋体" w:cs="宋体"/>
          <w:color w:val="auto"/>
          <w:highlight w:val="none"/>
          <w:lang w:val="en-US" w:eastAsia="zh-CN"/>
        </w:rPr>
        <w:br w:type="page"/>
      </w:r>
    </w:p>
    <w:p w14:paraId="3BC59E3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zh-CN" w:eastAsia="zh-CN"/>
        </w:rPr>
      </w:pPr>
      <w:r>
        <w:rPr>
          <w:rFonts w:hint="eastAsia" w:ascii="宋体" w:hAnsi="宋体" w:eastAsia="宋体" w:cs="宋体"/>
          <w:b/>
          <w:sz w:val="28"/>
          <w:szCs w:val="28"/>
          <w:highlight w:val="none"/>
          <w:lang w:val="zh-CN" w:eastAsia="zh-CN"/>
        </w:rPr>
        <w:t>商务标</w:t>
      </w:r>
    </w:p>
    <w:p w14:paraId="3AC2EC3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zh-CN" w:eastAsia="zh-CN"/>
        </w:rPr>
      </w:pPr>
      <w:r>
        <w:rPr>
          <w:rFonts w:hint="eastAsia" w:ascii="宋体" w:hAnsi="宋体" w:eastAsia="宋体" w:cs="宋体"/>
          <w:b/>
          <w:sz w:val="28"/>
          <w:szCs w:val="28"/>
          <w:highlight w:val="none"/>
          <w:lang w:val="zh-CN" w:eastAsia="zh-CN"/>
        </w:rPr>
        <w:t>一、分项报价表（格式自拟）</w:t>
      </w:r>
    </w:p>
    <w:tbl>
      <w:tblPr>
        <w:tblStyle w:val="28"/>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234"/>
        <w:gridCol w:w="1234"/>
        <w:gridCol w:w="1234"/>
        <w:gridCol w:w="898"/>
        <w:gridCol w:w="1107"/>
        <w:gridCol w:w="1107"/>
        <w:gridCol w:w="1107"/>
        <w:gridCol w:w="1112"/>
      </w:tblGrid>
      <w:tr w14:paraId="7EB7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443FA5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234" w:type="dxa"/>
            <w:vAlign w:val="center"/>
          </w:tcPr>
          <w:p w14:paraId="145277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设备名称</w:t>
            </w:r>
          </w:p>
        </w:tc>
        <w:tc>
          <w:tcPr>
            <w:tcW w:w="1234" w:type="dxa"/>
            <w:vAlign w:val="center"/>
          </w:tcPr>
          <w:p w14:paraId="139646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规格型号</w:t>
            </w:r>
          </w:p>
        </w:tc>
        <w:tc>
          <w:tcPr>
            <w:tcW w:w="1234" w:type="dxa"/>
            <w:vAlign w:val="center"/>
          </w:tcPr>
          <w:p w14:paraId="04EC14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技术参数</w:t>
            </w:r>
          </w:p>
        </w:tc>
        <w:tc>
          <w:tcPr>
            <w:tcW w:w="898" w:type="dxa"/>
            <w:vAlign w:val="center"/>
          </w:tcPr>
          <w:p w14:paraId="3F3BAC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数量</w:t>
            </w:r>
          </w:p>
        </w:tc>
        <w:tc>
          <w:tcPr>
            <w:tcW w:w="1107" w:type="dxa"/>
            <w:vAlign w:val="center"/>
          </w:tcPr>
          <w:p w14:paraId="5750B3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品牌、产地</w:t>
            </w:r>
          </w:p>
        </w:tc>
        <w:tc>
          <w:tcPr>
            <w:tcW w:w="1107" w:type="dxa"/>
            <w:vAlign w:val="center"/>
          </w:tcPr>
          <w:p w14:paraId="2585BB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单价（元）</w:t>
            </w:r>
          </w:p>
        </w:tc>
        <w:tc>
          <w:tcPr>
            <w:tcW w:w="1107" w:type="dxa"/>
            <w:vAlign w:val="center"/>
          </w:tcPr>
          <w:p w14:paraId="3FDF31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合价（元）</w:t>
            </w:r>
          </w:p>
        </w:tc>
        <w:tc>
          <w:tcPr>
            <w:tcW w:w="1112" w:type="dxa"/>
            <w:vAlign w:val="center"/>
          </w:tcPr>
          <w:p w14:paraId="2F7B5B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备注</w:t>
            </w:r>
          </w:p>
        </w:tc>
      </w:tr>
      <w:tr w14:paraId="675D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2F07CF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234" w:type="dxa"/>
            <w:vAlign w:val="center"/>
          </w:tcPr>
          <w:p w14:paraId="65A53A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234" w:type="dxa"/>
            <w:vAlign w:val="center"/>
          </w:tcPr>
          <w:p w14:paraId="41E75D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234" w:type="dxa"/>
            <w:vAlign w:val="center"/>
          </w:tcPr>
          <w:p w14:paraId="46D3B4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898" w:type="dxa"/>
            <w:vAlign w:val="center"/>
          </w:tcPr>
          <w:p w14:paraId="2EDF23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2A3D4A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043578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4CB2CF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12" w:type="dxa"/>
            <w:vAlign w:val="center"/>
          </w:tcPr>
          <w:p w14:paraId="3866F2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r>
      <w:tr w14:paraId="4A42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2A7370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234" w:type="dxa"/>
            <w:vAlign w:val="center"/>
          </w:tcPr>
          <w:p w14:paraId="663947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234" w:type="dxa"/>
            <w:vAlign w:val="center"/>
          </w:tcPr>
          <w:p w14:paraId="3DB970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234" w:type="dxa"/>
            <w:vAlign w:val="center"/>
          </w:tcPr>
          <w:p w14:paraId="623295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898" w:type="dxa"/>
            <w:vAlign w:val="center"/>
          </w:tcPr>
          <w:p w14:paraId="44BE89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33361E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5313DF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0D81F3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12" w:type="dxa"/>
            <w:vAlign w:val="center"/>
          </w:tcPr>
          <w:p w14:paraId="0329CB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r>
      <w:tr w14:paraId="3F49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62A8BE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1234" w:type="dxa"/>
            <w:vAlign w:val="center"/>
          </w:tcPr>
          <w:p w14:paraId="3BE494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234" w:type="dxa"/>
            <w:vAlign w:val="center"/>
          </w:tcPr>
          <w:p w14:paraId="4AF243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234" w:type="dxa"/>
            <w:vAlign w:val="center"/>
          </w:tcPr>
          <w:p w14:paraId="7A64DB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898" w:type="dxa"/>
            <w:vAlign w:val="center"/>
          </w:tcPr>
          <w:p w14:paraId="4FFBE5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7E3576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2309C2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11938C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12" w:type="dxa"/>
            <w:vAlign w:val="center"/>
          </w:tcPr>
          <w:p w14:paraId="71E52B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r>
      <w:tr w14:paraId="09BA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583DBE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234" w:type="dxa"/>
            <w:vAlign w:val="center"/>
          </w:tcPr>
          <w:p w14:paraId="64F0AA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234" w:type="dxa"/>
            <w:vAlign w:val="center"/>
          </w:tcPr>
          <w:p w14:paraId="455E23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234" w:type="dxa"/>
            <w:vAlign w:val="center"/>
          </w:tcPr>
          <w:p w14:paraId="40E934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898" w:type="dxa"/>
            <w:vAlign w:val="center"/>
          </w:tcPr>
          <w:p w14:paraId="182FF7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3BE38F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4BD14D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32A03A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12" w:type="dxa"/>
            <w:vAlign w:val="center"/>
          </w:tcPr>
          <w:p w14:paraId="5EC91D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r>
      <w:tr w14:paraId="5AE3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73802C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234" w:type="dxa"/>
            <w:vAlign w:val="center"/>
          </w:tcPr>
          <w:p w14:paraId="18EA40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234" w:type="dxa"/>
            <w:vAlign w:val="center"/>
          </w:tcPr>
          <w:p w14:paraId="679911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234" w:type="dxa"/>
            <w:vAlign w:val="center"/>
          </w:tcPr>
          <w:p w14:paraId="1D1A69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898" w:type="dxa"/>
            <w:vAlign w:val="center"/>
          </w:tcPr>
          <w:p w14:paraId="2374CE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00FF63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46D796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0849FB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12" w:type="dxa"/>
            <w:vAlign w:val="center"/>
          </w:tcPr>
          <w:p w14:paraId="79CB8D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r>
      <w:tr w14:paraId="298D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7CBD3A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234" w:type="dxa"/>
            <w:vAlign w:val="center"/>
          </w:tcPr>
          <w:p w14:paraId="0C3939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234" w:type="dxa"/>
            <w:vAlign w:val="center"/>
          </w:tcPr>
          <w:p w14:paraId="781ED9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234" w:type="dxa"/>
            <w:vAlign w:val="center"/>
          </w:tcPr>
          <w:p w14:paraId="142DBE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898" w:type="dxa"/>
            <w:vAlign w:val="center"/>
          </w:tcPr>
          <w:p w14:paraId="6782EB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762B6B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174B37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6D62C5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12" w:type="dxa"/>
            <w:vAlign w:val="center"/>
          </w:tcPr>
          <w:p w14:paraId="4DC3FD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r>
      <w:tr w14:paraId="3286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383167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p>
        </w:tc>
        <w:tc>
          <w:tcPr>
            <w:tcW w:w="1234" w:type="dxa"/>
            <w:vAlign w:val="center"/>
          </w:tcPr>
          <w:p w14:paraId="1AAA44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234" w:type="dxa"/>
            <w:vAlign w:val="center"/>
          </w:tcPr>
          <w:p w14:paraId="50D54B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234" w:type="dxa"/>
            <w:vAlign w:val="center"/>
          </w:tcPr>
          <w:p w14:paraId="62711A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898" w:type="dxa"/>
            <w:vAlign w:val="center"/>
          </w:tcPr>
          <w:p w14:paraId="629D2A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2D782F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5C8CD9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07" w:type="dxa"/>
            <w:vAlign w:val="center"/>
          </w:tcPr>
          <w:p w14:paraId="64621F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112" w:type="dxa"/>
            <w:vAlign w:val="center"/>
          </w:tcPr>
          <w:p w14:paraId="7E3D9F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r>
    </w:tbl>
    <w:p w14:paraId="4AEE719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名称（公章）：</w:t>
      </w:r>
      <w:r>
        <w:rPr>
          <w:rFonts w:hint="eastAsia" w:ascii="宋体" w:hAnsi="宋体" w:eastAsia="宋体" w:cs="宋体"/>
          <w:sz w:val="24"/>
          <w:szCs w:val="24"/>
          <w:highlight w:val="none"/>
          <w:u w:val="single"/>
        </w:rPr>
        <w:t xml:space="preserve">                     </w:t>
      </w:r>
    </w:p>
    <w:p w14:paraId="320BE08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kern w:val="0"/>
          <w:sz w:val="24"/>
          <w:szCs w:val="24"/>
          <w:highlight w:val="none"/>
          <w:u w:val="single"/>
        </w:rPr>
      </w:pPr>
      <w:bookmarkStart w:id="36" w:name="_Toc32624"/>
      <w:bookmarkStart w:id="37" w:name="_Toc27278"/>
      <w:r>
        <w:rPr>
          <w:rFonts w:hint="eastAsia" w:ascii="宋体" w:hAnsi="宋体" w:eastAsia="宋体" w:cs="宋体"/>
          <w:b w:val="0"/>
          <w:bCs w:val="0"/>
          <w:kern w:val="0"/>
          <w:sz w:val="24"/>
          <w:szCs w:val="24"/>
          <w:highlight w:val="none"/>
        </w:rPr>
        <w:t>法定代表人</w:t>
      </w:r>
      <w:r>
        <w:rPr>
          <w:rFonts w:hint="eastAsia" w:ascii="宋体" w:hAnsi="宋体" w:eastAsia="宋体" w:cs="宋体"/>
          <w:b w:val="0"/>
          <w:bCs w:val="0"/>
          <w:kern w:val="0"/>
          <w:sz w:val="24"/>
          <w:szCs w:val="24"/>
          <w:highlight w:val="none"/>
          <w:lang w:eastAsia="zh-CN"/>
        </w:rPr>
        <w:t>或</w:t>
      </w:r>
      <w:r>
        <w:rPr>
          <w:rFonts w:hint="eastAsia" w:ascii="宋体" w:hAnsi="宋体" w:eastAsia="宋体" w:cs="宋体"/>
          <w:b w:val="0"/>
          <w:bCs w:val="0"/>
          <w:kern w:val="0"/>
          <w:sz w:val="24"/>
          <w:szCs w:val="24"/>
          <w:highlight w:val="none"/>
        </w:rPr>
        <w:t>授权代表（签字或签章）：</w:t>
      </w:r>
      <w:bookmarkEnd w:id="36"/>
      <w:bookmarkEnd w:id="37"/>
      <w:r>
        <w:rPr>
          <w:rFonts w:hint="eastAsia" w:ascii="宋体" w:hAnsi="宋体" w:eastAsia="宋体" w:cs="宋体"/>
          <w:b w:val="0"/>
          <w:bCs w:val="0"/>
          <w:kern w:val="0"/>
          <w:sz w:val="24"/>
          <w:szCs w:val="24"/>
          <w:highlight w:val="none"/>
          <w:u w:val="single"/>
        </w:rPr>
        <w:t xml:space="preserve">       </w:t>
      </w:r>
    </w:p>
    <w:p w14:paraId="078F9162">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kern w:val="0"/>
          <w:sz w:val="24"/>
          <w:szCs w:val="24"/>
          <w:highlight w:val="none"/>
          <w:u w:val="none"/>
          <w:lang w:eastAsia="zh-CN"/>
        </w:rPr>
        <w:t>日期</w:t>
      </w:r>
      <w:r>
        <w:rPr>
          <w:rFonts w:hint="eastAsia" w:ascii="宋体" w:hAnsi="宋体" w:eastAsia="宋体" w:cs="宋体"/>
          <w:b w:val="0"/>
          <w:bCs w:val="0"/>
          <w:kern w:val="0"/>
          <w:sz w:val="24"/>
          <w:szCs w:val="24"/>
          <w:highlight w:val="none"/>
          <w:u w:val="none"/>
          <w:lang w:val="en-US" w:eastAsia="zh-CN"/>
        </w:rPr>
        <w:t xml:space="preserve">：    年  月  日 </w:t>
      </w:r>
      <w:r>
        <w:rPr>
          <w:rFonts w:hint="eastAsia" w:ascii="宋体" w:hAnsi="宋体" w:eastAsia="宋体" w:cs="宋体"/>
          <w:color w:val="auto"/>
          <w:sz w:val="24"/>
          <w:szCs w:val="24"/>
          <w:highlight w:val="none"/>
          <w:lang w:val="en-US" w:eastAsia="zh-CN"/>
        </w:rPr>
        <w:br w:type="page"/>
      </w:r>
    </w:p>
    <w:p w14:paraId="4180D20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二、政府采购政策：</w:t>
      </w:r>
    </w:p>
    <w:p w14:paraId="14AC7561">
      <w:pPr>
        <w:spacing w:line="360" w:lineRule="auto"/>
        <w:ind w:firstLine="241" w:firstLineChars="100"/>
        <w:rPr>
          <w:rFonts w:hint="eastAsia" w:ascii="宋体" w:hAnsi="宋体" w:eastAsia="宋体" w:cs="宋体"/>
          <w:b/>
          <w:sz w:val="24"/>
          <w:highlight w:val="none"/>
        </w:rPr>
      </w:pPr>
      <w:r>
        <w:rPr>
          <w:rFonts w:hint="eastAsia" w:ascii="宋体" w:hAnsi="宋体" w:eastAsia="宋体" w:cs="宋体"/>
          <w:b/>
          <w:sz w:val="24"/>
          <w:highlight w:val="none"/>
        </w:rPr>
        <w:t>所投产品如涉及环保、节能、小微企业、福利性单位等政府采购政策，请将相关表格及材料附在</w:t>
      </w:r>
      <w:r>
        <w:rPr>
          <w:rFonts w:hint="eastAsia" w:ascii="宋体" w:hAnsi="宋体" w:eastAsia="宋体" w:cs="宋体"/>
          <w:b/>
          <w:sz w:val="24"/>
          <w:highlight w:val="none"/>
          <w:lang w:eastAsia="zh-CN"/>
        </w:rPr>
        <w:t>响应文件</w:t>
      </w:r>
      <w:r>
        <w:rPr>
          <w:rFonts w:hint="eastAsia" w:ascii="宋体" w:hAnsi="宋体" w:eastAsia="宋体" w:cs="宋体"/>
          <w:b/>
          <w:sz w:val="24"/>
          <w:highlight w:val="none"/>
        </w:rPr>
        <w:t>最后部分，并对所附材料的额真实性负法律责任。</w:t>
      </w:r>
    </w:p>
    <w:p w14:paraId="7AF25CEA">
      <w:pPr>
        <w:spacing w:line="360" w:lineRule="auto"/>
        <w:ind w:firstLine="241" w:firstLineChars="100"/>
        <w:rPr>
          <w:rFonts w:hint="eastAsia" w:ascii="宋体" w:hAnsi="宋体" w:eastAsia="宋体" w:cs="宋体"/>
          <w:b/>
          <w:sz w:val="24"/>
          <w:highlight w:val="none"/>
        </w:rPr>
      </w:pPr>
      <w:r>
        <w:rPr>
          <w:rFonts w:hint="eastAsia" w:ascii="宋体" w:hAnsi="宋体" w:eastAsia="宋体" w:cs="宋体"/>
          <w:b/>
          <w:sz w:val="24"/>
          <w:highlight w:val="none"/>
        </w:rPr>
        <w:t>若不涉及，不需要提供以下相应表格和材料。</w:t>
      </w:r>
    </w:p>
    <w:p w14:paraId="10A6FC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8"/>
          <w:szCs w:val="28"/>
          <w:highlight w:val="none"/>
          <w:shd w:val="clear" w:color="auto" w:fill="auto"/>
          <w:lang w:val="en-US" w:eastAsia="zh-CN"/>
        </w:rPr>
      </w:pPr>
      <w:r>
        <w:rPr>
          <w:rFonts w:hint="eastAsia" w:ascii="宋体" w:hAnsi="宋体" w:eastAsia="宋体" w:cs="宋体"/>
          <w:b/>
          <w:color w:val="auto"/>
          <w:sz w:val="28"/>
          <w:szCs w:val="28"/>
          <w:highlight w:val="none"/>
          <w:shd w:val="clear" w:color="auto" w:fill="auto"/>
          <w:lang w:val="en-US" w:eastAsia="zh-CN"/>
        </w:rPr>
        <w:t>附件：节能产品报价说明表一</w:t>
      </w:r>
    </w:p>
    <w:p w14:paraId="71A1B0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项目编号</w:t>
      </w:r>
      <w:r>
        <w:rPr>
          <w:rFonts w:hint="eastAsia" w:ascii="宋体" w:hAnsi="宋体" w:eastAsia="宋体" w:cs="宋体"/>
          <w:color w:val="auto"/>
          <w:sz w:val="24"/>
          <w:szCs w:val="24"/>
          <w:highlight w:val="none"/>
          <w:shd w:val="clear" w:color="auto" w:fill="auto"/>
          <w:lang w:eastAsia="zh-CN"/>
        </w:rPr>
        <w:t>：</w:t>
      </w:r>
    </w:p>
    <w:p w14:paraId="4A87AC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供应商名称：</w:t>
      </w:r>
      <w:r>
        <w:rPr>
          <w:rFonts w:hint="eastAsia" w:ascii="宋体" w:hAnsi="宋体" w:eastAsia="宋体" w:cs="宋体"/>
          <w:color w:val="auto"/>
          <w:sz w:val="24"/>
          <w:szCs w:val="24"/>
          <w:highlight w:val="none"/>
          <w:shd w:val="clear" w:color="auto" w:fill="auto"/>
        </w:rPr>
        <w:t>（加盖公章）</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w:t>
      </w:r>
    </w:p>
    <w:tbl>
      <w:tblPr>
        <w:tblStyle w:val="2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193"/>
        <w:gridCol w:w="1217"/>
        <w:gridCol w:w="2080"/>
        <w:gridCol w:w="811"/>
        <w:gridCol w:w="1560"/>
        <w:gridCol w:w="1616"/>
      </w:tblGrid>
      <w:tr w14:paraId="3398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240" w:type="dxa"/>
            <w:gridSpan w:val="7"/>
            <w:tcBorders>
              <w:top w:val="single" w:color="auto" w:sz="4" w:space="0"/>
              <w:left w:val="single" w:color="auto" w:sz="4" w:space="0"/>
              <w:bottom w:val="single" w:color="auto" w:sz="4" w:space="0"/>
              <w:right w:val="single" w:color="auto" w:sz="4" w:space="0"/>
            </w:tcBorders>
            <w:vAlign w:val="center"/>
          </w:tcPr>
          <w:p w14:paraId="45D17A81">
            <w:pPr>
              <w:jc w:val="cente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强制节能产品报价明细</w:t>
            </w:r>
          </w:p>
        </w:tc>
      </w:tr>
      <w:tr w14:paraId="07AE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77837A2">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序号</w:t>
            </w:r>
          </w:p>
        </w:tc>
        <w:tc>
          <w:tcPr>
            <w:tcW w:w="1193" w:type="dxa"/>
            <w:tcBorders>
              <w:top w:val="single" w:color="auto" w:sz="4" w:space="0"/>
              <w:left w:val="single" w:color="auto" w:sz="4" w:space="0"/>
              <w:bottom w:val="single" w:color="auto" w:sz="4" w:space="0"/>
              <w:right w:val="single" w:color="auto" w:sz="4" w:space="0"/>
            </w:tcBorders>
            <w:vAlign w:val="center"/>
          </w:tcPr>
          <w:p w14:paraId="54F79AC2">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货物名称</w:t>
            </w:r>
          </w:p>
        </w:tc>
        <w:tc>
          <w:tcPr>
            <w:tcW w:w="1217" w:type="dxa"/>
            <w:tcBorders>
              <w:top w:val="single" w:color="auto" w:sz="4" w:space="0"/>
              <w:left w:val="single" w:color="auto" w:sz="4" w:space="0"/>
              <w:bottom w:val="single" w:color="auto" w:sz="4" w:space="0"/>
              <w:right w:val="single" w:color="auto" w:sz="4" w:space="0"/>
            </w:tcBorders>
            <w:vAlign w:val="center"/>
          </w:tcPr>
          <w:p w14:paraId="48FE60D3">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型号/规格</w:t>
            </w:r>
          </w:p>
        </w:tc>
        <w:tc>
          <w:tcPr>
            <w:tcW w:w="2080" w:type="dxa"/>
            <w:tcBorders>
              <w:top w:val="single" w:color="auto" w:sz="4" w:space="0"/>
              <w:left w:val="single" w:color="auto" w:sz="4" w:space="0"/>
              <w:bottom w:val="single" w:color="auto" w:sz="4" w:space="0"/>
              <w:right w:val="single" w:color="auto" w:sz="4" w:space="0"/>
            </w:tcBorders>
            <w:vAlign w:val="center"/>
          </w:tcPr>
          <w:p w14:paraId="432022D4">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节能产品认证</w:t>
            </w:r>
          </w:p>
          <w:p w14:paraId="58C29CEC">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证书号</w:t>
            </w:r>
          </w:p>
        </w:tc>
        <w:tc>
          <w:tcPr>
            <w:tcW w:w="811" w:type="dxa"/>
            <w:tcBorders>
              <w:top w:val="single" w:color="auto" w:sz="4" w:space="0"/>
              <w:left w:val="single" w:color="auto" w:sz="4" w:space="0"/>
              <w:bottom w:val="single" w:color="auto" w:sz="4" w:space="0"/>
              <w:right w:val="single" w:color="auto" w:sz="4" w:space="0"/>
            </w:tcBorders>
            <w:vAlign w:val="center"/>
          </w:tcPr>
          <w:p w14:paraId="3667E05A">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数量</w:t>
            </w:r>
          </w:p>
        </w:tc>
        <w:tc>
          <w:tcPr>
            <w:tcW w:w="1560" w:type="dxa"/>
            <w:tcBorders>
              <w:top w:val="single" w:color="auto" w:sz="4" w:space="0"/>
              <w:left w:val="single" w:color="auto" w:sz="4" w:space="0"/>
              <w:bottom w:val="single" w:color="auto" w:sz="4" w:space="0"/>
              <w:right w:val="single" w:color="auto" w:sz="4" w:space="0"/>
            </w:tcBorders>
            <w:vAlign w:val="center"/>
          </w:tcPr>
          <w:p w14:paraId="55744548">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单价（元）</w:t>
            </w:r>
          </w:p>
        </w:tc>
        <w:tc>
          <w:tcPr>
            <w:tcW w:w="1616" w:type="dxa"/>
            <w:tcBorders>
              <w:top w:val="single" w:color="auto" w:sz="4" w:space="0"/>
              <w:left w:val="single" w:color="auto" w:sz="4" w:space="0"/>
              <w:bottom w:val="single" w:color="auto" w:sz="4" w:space="0"/>
              <w:right w:val="single" w:color="auto" w:sz="4" w:space="0"/>
            </w:tcBorders>
            <w:vAlign w:val="center"/>
          </w:tcPr>
          <w:p w14:paraId="5F047263">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合价（元）</w:t>
            </w:r>
          </w:p>
        </w:tc>
      </w:tr>
      <w:tr w14:paraId="6670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B5D2D93">
            <w:pPr>
              <w:widowControl/>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1193" w:type="dxa"/>
            <w:tcBorders>
              <w:top w:val="single" w:color="auto" w:sz="4" w:space="0"/>
              <w:left w:val="single" w:color="auto" w:sz="4" w:space="0"/>
              <w:bottom w:val="single" w:color="auto" w:sz="4" w:space="0"/>
              <w:right w:val="single" w:color="auto" w:sz="4" w:space="0"/>
            </w:tcBorders>
            <w:vAlign w:val="center"/>
          </w:tcPr>
          <w:p w14:paraId="4665C6BA">
            <w:pPr>
              <w:widowControl/>
              <w:spacing w:line="360" w:lineRule="auto"/>
              <w:jc w:val="center"/>
              <w:rPr>
                <w:rFonts w:hint="eastAsia" w:ascii="宋体" w:hAnsi="宋体" w:eastAsia="宋体" w:cs="宋体"/>
                <w:color w:val="auto"/>
                <w:sz w:val="24"/>
                <w:szCs w:val="24"/>
                <w:highlight w:val="none"/>
                <w:shd w:val="clear" w:color="auto" w:fill="auto"/>
              </w:rPr>
            </w:pPr>
          </w:p>
        </w:tc>
        <w:tc>
          <w:tcPr>
            <w:tcW w:w="1217" w:type="dxa"/>
            <w:tcBorders>
              <w:top w:val="single" w:color="auto" w:sz="4" w:space="0"/>
              <w:left w:val="single" w:color="auto" w:sz="4" w:space="0"/>
              <w:bottom w:val="single" w:color="auto" w:sz="4" w:space="0"/>
              <w:right w:val="single" w:color="auto" w:sz="4" w:space="0"/>
            </w:tcBorders>
            <w:vAlign w:val="center"/>
          </w:tcPr>
          <w:p w14:paraId="4F564FEF">
            <w:pPr>
              <w:widowControl/>
              <w:spacing w:line="360" w:lineRule="auto"/>
              <w:jc w:val="center"/>
              <w:rPr>
                <w:rFonts w:hint="eastAsia" w:ascii="宋体" w:hAnsi="宋体" w:eastAsia="宋体" w:cs="宋体"/>
                <w:color w:val="auto"/>
                <w:sz w:val="24"/>
                <w:szCs w:val="24"/>
                <w:highlight w:val="none"/>
                <w:shd w:val="clear" w:color="auto" w:fill="auto"/>
              </w:rPr>
            </w:pPr>
          </w:p>
        </w:tc>
        <w:tc>
          <w:tcPr>
            <w:tcW w:w="2080" w:type="dxa"/>
            <w:tcBorders>
              <w:top w:val="single" w:color="auto" w:sz="4" w:space="0"/>
              <w:left w:val="single" w:color="auto" w:sz="4" w:space="0"/>
              <w:bottom w:val="single" w:color="auto" w:sz="4" w:space="0"/>
              <w:right w:val="single" w:color="auto" w:sz="4" w:space="0"/>
            </w:tcBorders>
            <w:vAlign w:val="center"/>
          </w:tcPr>
          <w:p w14:paraId="15D42B03">
            <w:pPr>
              <w:widowControl/>
              <w:spacing w:line="360" w:lineRule="auto"/>
              <w:jc w:val="center"/>
              <w:rPr>
                <w:rFonts w:hint="eastAsia" w:ascii="宋体" w:hAnsi="宋体" w:eastAsia="宋体" w:cs="宋体"/>
                <w:color w:val="auto"/>
                <w:sz w:val="24"/>
                <w:szCs w:val="24"/>
                <w:highlight w:val="none"/>
                <w:shd w:val="clear" w:color="auto" w:fill="auto"/>
              </w:rPr>
            </w:pPr>
          </w:p>
        </w:tc>
        <w:tc>
          <w:tcPr>
            <w:tcW w:w="811" w:type="dxa"/>
            <w:tcBorders>
              <w:top w:val="single" w:color="auto" w:sz="4" w:space="0"/>
              <w:left w:val="single" w:color="auto" w:sz="4" w:space="0"/>
              <w:bottom w:val="single" w:color="auto" w:sz="4" w:space="0"/>
              <w:right w:val="single" w:color="auto" w:sz="4" w:space="0"/>
            </w:tcBorders>
            <w:vAlign w:val="center"/>
          </w:tcPr>
          <w:p w14:paraId="5A518640">
            <w:pPr>
              <w:widowControl/>
              <w:spacing w:line="360" w:lineRule="auto"/>
              <w:jc w:val="center"/>
              <w:rPr>
                <w:rFonts w:hint="eastAsia" w:ascii="宋体" w:hAnsi="宋体" w:eastAsia="宋体" w:cs="宋体"/>
                <w:color w:val="auto"/>
                <w:sz w:val="24"/>
                <w:szCs w:val="24"/>
                <w:highlight w:val="none"/>
                <w:shd w:val="clear" w:color="auto" w:fill="auto"/>
              </w:rPr>
            </w:pPr>
          </w:p>
        </w:tc>
        <w:tc>
          <w:tcPr>
            <w:tcW w:w="1560" w:type="dxa"/>
            <w:tcBorders>
              <w:top w:val="single" w:color="auto" w:sz="4" w:space="0"/>
              <w:left w:val="single" w:color="auto" w:sz="4" w:space="0"/>
              <w:bottom w:val="single" w:color="auto" w:sz="4" w:space="0"/>
              <w:right w:val="single" w:color="auto" w:sz="4" w:space="0"/>
            </w:tcBorders>
            <w:vAlign w:val="center"/>
          </w:tcPr>
          <w:p w14:paraId="37D1E3B7">
            <w:pPr>
              <w:widowControl/>
              <w:spacing w:line="360" w:lineRule="auto"/>
              <w:jc w:val="center"/>
              <w:rPr>
                <w:rFonts w:hint="eastAsia" w:ascii="宋体" w:hAnsi="宋体" w:eastAsia="宋体" w:cs="宋体"/>
                <w:color w:val="auto"/>
                <w:sz w:val="24"/>
                <w:szCs w:val="24"/>
                <w:highlight w:val="none"/>
                <w:shd w:val="clear" w:color="auto" w:fill="auto"/>
              </w:rPr>
            </w:pPr>
          </w:p>
        </w:tc>
        <w:tc>
          <w:tcPr>
            <w:tcW w:w="1616" w:type="dxa"/>
            <w:tcBorders>
              <w:top w:val="single" w:color="auto" w:sz="4" w:space="0"/>
              <w:left w:val="single" w:color="auto" w:sz="4" w:space="0"/>
              <w:bottom w:val="single" w:color="auto" w:sz="4" w:space="0"/>
              <w:right w:val="single" w:color="auto" w:sz="4" w:space="0"/>
            </w:tcBorders>
            <w:vAlign w:val="center"/>
          </w:tcPr>
          <w:p w14:paraId="099532CF">
            <w:pPr>
              <w:widowControl/>
              <w:spacing w:line="360" w:lineRule="auto"/>
              <w:jc w:val="center"/>
              <w:rPr>
                <w:rFonts w:hint="eastAsia" w:ascii="宋体" w:hAnsi="宋体" w:eastAsia="宋体" w:cs="宋体"/>
                <w:color w:val="auto"/>
                <w:sz w:val="24"/>
                <w:szCs w:val="24"/>
                <w:highlight w:val="none"/>
                <w:shd w:val="clear" w:color="auto" w:fill="auto"/>
              </w:rPr>
            </w:pPr>
          </w:p>
        </w:tc>
      </w:tr>
      <w:tr w14:paraId="2910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8A47BC">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p>
        </w:tc>
        <w:tc>
          <w:tcPr>
            <w:tcW w:w="1193" w:type="dxa"/>
            <w:tcBorders>
              <w:top w:val="single" w:color="auto" w:sz="4" w:space="0"/>
              <w:left w:val="single" w:color="auto" w:sz="4" w:space="0"/>
              <w:bottom w:val="single" w:color="auto" w:sz="4" w:space="0"/>
              <w:right w:val="single" w:color="auto" w:sz="4" w:space="0"/>
            </w:tcBorders>
            <w:vAlign w:val="center"/>
          </w:tcPr>
          <w:p w14:paraId="5176D605">
            <w:pPr>
              <w:spacing w:line="360" w:lineRule="auto"/>
              <w:jc w:val="center"/>
              <w:rPr>
                <w:rFonts w:hint="eastAsia" w:ascii="宋体" w:hAnsi="宋体" w:eastAsia="宋体" w:cs="宋体"/>
                <w:color w:val="auto"/>
                <w:sz w:val="24"/>
                <w:szCs w:val="24"/>
                <w:highlight w:val="none"/>
                <w:shd w:val="clear" w:color="auto" w:fill="auto"/>
              </w:rPr>
            </w:pPr>
          </w:p>
        </w:tc>
        <w:tc>
          <w:tcPr>
            <w:tcW w:w="1217" w:type="dxa"/>
            <w:tcBorders>
              <w:top w:val="single" w:color="auto" w:sz="4" w:space="0"/>
              <w:left w:val="single" w:color="auto" w:sz="4" w:space="0"/>
              <w:bottom w:val="single" w:color="auto" w:sz="4" w:space="0"/>
              <w:right w:val="single" w:color="auto" w:sz="4" w:space="0"/>
            </w:tcBorders>
            <w:vAlign w:val="center"/>
          </w:tcPr>
          <w:p w14:paraId="390458F2">
            <w:pPr>
              <w:spacing w:line="360" w:lineRule="auto"/>
              <w:jc w:val="center"/>
              <w:rPr>
                <w:rFonts w:hint="eastAsia" w:ascii="宋体" w:hAnsi="宋体" w:eastAsia="宋体" w:cs="宋体"/>
                <w:color w:val="auto"/>
                <w:sz w:val="24"/>
                <w:szCs w:val="24"/>
                <w:highlight w:val="none"/>
                <w:shd w:val="clear" w:color="auto" w:fill="auto"/>
              </w:rPr>
            </w:pPr>
          </w:p>
        </w:tc>
        <w:tc>
          <w:tcPr>
            <w:tcW w:w="2080" w:type="dxa"/>
            <w:tcBorders>
              <w:top w:val="single" w:color="auto" w:sz="4" w:space="0"/>
              <w:left w:val="single" w:color="auto" w:sz="4" w:space="0"/>
              <w:bottom w:val="single" w:color="auto" w:sz="4" w:space="0"/>
              <w:right w:val="single" w:color="auto" w:sz="4" w:space="0"/>
            </w:tcBorders>
            <w:vAlign w:val="center"/>
          </w:tcPr>
          <w:p w14:paraId="470660E6">
            <w:pPr>
              <w:spacing w:line="360" w:lineRule="auto"/>
              <w:jc w:val="center"/>
              <w:rPr>
                <w:rFonts w:hint="eastAsia" w:ascii="宋体" w:hAnsi="宋体" w:eastAsia="宋体" w:cs="宋体"/>
                <w:color w:val="auto"/>
                <w:sz w:val="24"/>
                <w:szCs w:val="24"/>
                <w:highlight w:val="none"/>
                <w:shd w:val="clear" w:color="auto" w:fill="auto"/>
              </w:rPr>
            </w:pPr>
          </w:p>
        </w:tc>
        <w:tc>
          <w:tcPr>
            <w:tcW w:w="811" w:type="dxa"/>
            <w:tcBorders>
              <w:top w:val="single" w:color="auto" w:sz="4" w:space="0"/>
              <w:left w:val="single" w:color="auto" w:sz="4" w:space="0"/>
              <w:bottom w:val="single" w:color="auto" w:sz="4" w:space="0"/>
              <w:right w:val="single" w:color="auto" w:sz="4" w:space="0"/>
            </w:tcBorders>
            <w:vAlign w:val="center"/>
          </w:tcPr>
          <w:p w14:paraId="5DC4069E">
            <w:pPr>
              <w:spacing w:line="360" w:lineRule="auto"/>
              <w:jc w:val="center"/>
              <w:rPr>
                <w:rFonts w:hint="eastAsia" w:ascii="宋体" w:hAnsi="宋体" w:eastAsia="宋体" w:cs="宋体"/>
                <w:color w:val="auto"/>
                <w:sz w:val="24"/>
                <w:szCs w:val="24"/>
                <w:highlight w:val="none"/>
                <w:shd w:val="clear" w:color="auto" w:fill="auto"/>
              </w:rPr>
            </w:pPr>
          </w:p>
        </w:tc>
        <w:tc>
          <w:tcPr>
            <w:tcW w:w="1560" w:type="dxa"/>
            <w:tcBorders>
              <w:top w:val="single" w:color="auto" w:sz="4" w:space="0"/>
              <w:left w:val="single" w:color="auto" w:sz="4" w:space="0"/>
              <w:bottom w:val="single" w:color="auto" w:sz="4" w:space="0"/>
              <w:right w:val="single" w:color="auto" w:sz="4" w:space="0"/>
            </w:tcBorders>
            <w:vAlign w:val="center"/>
          </w:tcPr>
          <w:p w14:paraId="1C61E571">
            <w:pPr>
              <w:spacing w:line="360" w:lineRule="auto"/>
              <w:jc w:val="center"/>
              <w:rPr>
                <w:rFonts w:hint="eastAsia" w:ascii="宋体" w:hAnsi="宋体" w:eastAsia="宋体" w:cs="宋体"/>
                <w:color w:val="auto"/>
                <w:sz w:val="24"/>
                <w:szCs w:val="24"/>
                <w:highlight w:val="none"/>
                <w:shd w:val="clear" w:color="auto" w:fill="auto"/>
              </w:rPr>
            </w:pPr>
          </w:p>
        </w:tc>
        <w:tc>
          <w:tcPr>
            <w:tcW w:w="1616" w:type="dxa"/>
            <w:tcBorders>
              <w:top w:val="single" w:color="auto" w:sz="4" w:space="0"/>
              <w:left w:val="single" w:color="auto" w:sz="4" w:space="0"/>
              <w:bottom w:val="single" w:color="auto" w:sz="4" w:space="0"/>
              <w:right w:val="single" w:color="auto" w:sz="4" w:space="0"/>
            </w:tcBorders>
            <w:vAlign w:val="center"/>
          </w:tcPr>
          <w:p w14:paraId="0EDDA72D">
            <w:pPr>
              <w:spacing w:line="360" w:lineRule="auto"/>
              <w:jc w:val="center"/>
              <w:rPr>
                <w:rFonts w:hint="eastAsia" w:ascii="宋体" w:hAnsi="宋体" w:eastAsia="宋体" w:cs="宋体"/>
                <w:color w:val="auto"/>
                <w:sz w:val="24"/>
                <w:szCs w:val="24"/>
                <w:highlight w:val="none"/>
                <w:shd w:val="clear" w:color="auto" w:fill="auto"/>
              </w:rPr>
            </w:pPr>
          </w:p>
        </w:tc>
      </w:tr>
      <w:tr w14:paraId="4731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6F7324F">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p>
        </w:tc>
        <w:tc>
          <w:tcPr>
            <w:tcW w:w="1193" w:type="dxa"/>
            <w:tcBorders>
              <w:top w:val="single" w:color="auto" w:sz="4" w:space="0"/>
              <w:left w:val="single" w:color="auto" w:sz="4" w:space="0"/>
              <w:bottom w:val="single" w:color="auto" w:sz="4" w:space="0"/>
              <w:right w:val="single" w:color="auto" w:sz="4" w:space="0"/>
            </w:tcBorders>
            <w:vAlign w:val="center"/>
          </w:tcPr>
          <w:p w14:paraId="6648A476">
            <w:pPr>
              <w:spacing w:line="360" w:lineRule="auto"/>
              <w:jc w:val="center"/>
              <w:rPr>
                <w:rFonts w:hint="eastAsia" w:ascii="宋体" w:hAnsi="宋体" w:eastAsia="宋体" w:cs="宋体"/>
                <w:color w:val="auto"/>
                <w:sz w:val="24"/>
                <w:szCs w:val="24"/>
                <w:highlight w:val="none"/>
                <w:shd w:val="clear" w:color="auto" w:fill="auto"/>
              </w:rPr>
            </w:pPr>
          </w:p>
        </w:tc>
        <w:tc>
          <w:tcPr>
            <w:tcW w:w="1217" w:type="dxa"/>
            <w:tcBorders>
              <w:top w:val="single" w:color="auto" w:sz="4" w:space="0"/>
              <w:left w:val="single" w:color="auto" w:sz="4" w:space="0"/>
              <w:bottom w:val="single" w:color="auto" w:sz="4" w:space="0"/>
              <w:right w:val="single" w:color="auto" w:sz="4" w:space="0"/>
            </w:tcBorders>
            <w:vAlign w:val="center"/>
          </w:tcPr>
          <w:p w14:paraId="40222310">
            <w:pPr>
              <w:spacing w:line="360" w:lineRule="auto"/>
              <w:jc w:val="center"/>
              <w:rPr>
                <w:rFonts w:hint="eastAsia" w:ascii="宋体" w:hAnsi="宋体" w:eastAsia="宋体" w:cs="宋体"/>
                <w:color w:val="auto"/>
                <w:sz w:val="24"/>
                <w:szCs w:val="24"/>
                <w:highlight w:val="none"/>
                <w:shd w:val="clear" w:color="auto" w:fill="auto"/>
              </w:rPr>
            </w:pPr>
          </w:p>
        </w:tc>
        <w:tc>
          <w:tcPr>
            <w:tcW w:w="2080" w:type="dxa"/>
            <w:tcBorders>
              <w:top w:val="single" w:color="auto" w:sz="4" w:space="0"/>
              <w:left w:val="single" w:color="auto" w:sz="4" w:space="0"/>
              <w:bottom w:val="single" w:color="auto" w:sz="4" w:space="0"/>
              <w:right w:val="single" w:color="auto" w:sz="4" w:space="0"/>
            </w:tcBorders>
            <w:vAlign w:val="center"/>
          </w:tcPr>
          <w:p w14:paraId="748945FA">
            <w:pPr>
              <w:spacing w:line="360" w:lineRule="auto"/>
              <w:jc w:val="center"/>
              <w:rPr>
                <w:rFonts w:hint="eastAsia" w:ascii="宋体" w:hAnsi="宋体" w:eastAsia="宋体" w:cs="宋体"/>
                <w:color w:val="auto"/>
                <w:sz w:val="24"/>
                <w:szCs w:val="24"/>
                <w:highlight w:val="none"/>
                <w:shd w:val="clear" w:color="auto" w:fill="auto"/>
              </w:rPr>
            </w:pPr>
          </w:p>
        </w:tc>
        <w:tc>
          <w:tcPr>
            <w:tcW w:w="811" w:type="dxa"/>
            <w:tcBorders>
              <w:top w:val="single" w:color="auto" w:sz="4" w:space="0"/>
              <w:left w:val="single" w:color="auto" w:sz="4" w:space="0"/>
              <w:bottom w:val="single" w:color="auto" w:sz="4" w:space="0"/>
              <w:right w:val="single" w:color="auto" w:sz="4" w:space="0"/>
            </w:tcBorders>
            <w:vAlign w:val="center"/>
          </w:tcPr>
          <w:p w14:paraId="3E96A05C">
            <w:pPr>
              <w:spacing w:line="360" w:lineRule="auto"/>
              <w:jc w:val="center"/>
              <w:rPr>
                <w:rFonts w:hint="eastAsia" w:ascii="宋体" w:hAnsi="宋体" w:eastAsia="宋体" w:cs="宋体"/>
                <w:color w:val="auto"/>
                <w:sz w:val="24"/>
                <w:szCs w:val="24"/>
                <w:highlight w:val="none"/>
                <w:shd w:val="clear" w:color="auto" w:fill="auto"/>
              </w:rPr>
            </w:pPr>
          </w:p>
        </w:tc>
        <w:tc>
          <w:tcPr>
            <w:tcW w:w="1560" w:type="dxa"/>
            <w:tcBorders>
              <w:top w:val="single" w:color="auto" w:sz="4" w:space="0"/>
              <w:left w:val="single" w:color="auto" w:sz="4" w:space="0"/>
              <w:bottom w:val="single" w:color="auto" w:sz="4" w:space="0"/>
              <w:right w:val="single" w:color="auto" w:sz="4" w:space="0"/>
            </w:tcBorders>
            <w:vAlign w:val="center"/>
          </w:tcPr>
          <w:p w14:paraId="3E214EF7">
            <w:pPr>
              <w:spacing w:line="360" w:lineRule="auto"/>
              <w:jc w:val="center"/>
              <w:rPr>
                <w:rFonts w:hint="eastAsia" w:ascii="宋体" w:hAnsi="宋体" w:eastAsia="宋体" w:cs="宋体"/>
                <w:color w:val="auto"/>
                <w:sz w:val="24"/>
                <w:szCs w:val="24"/>
                <w:highlight w:val="none"/>
                <w:shd w:val="clear" w:color="auto" w:fill="auto"/>
              </w:rPr>
            </w:pPr>
          </w:p>
        </w:tc>
        <w:tc>
          <w:tcPr>
            <w:tcW w:w="1616" w:type="dxa"/>
            <w:tcBorders>
              <w:top w:val="single" w:color="auto" w:sz="4" w:space="0"/>
              <w:left w:val="single" w:color="auto" w:sz="4" w:space="0"/>
              <w:bottom w:val="single" w:color="auto" w:sz="4" w:space="0"/>
              <w:right w:val="single" w:color="auto" w:sz="4" w:space="0"/>
            </w:tcBorders>
            <w:vAlign w:val="center"/>
          </w:tcPr>
          <w:p w14:paraId="40DD7619">
            <w:pPr>
              <w:spacing w:line="360" w:lineRule="auto"/>
              <w:jc w:val="center"/>
              <w:rPr>
                <w:rFonts w:hint="eastAsia" w:ascii="宋体" w:hAnsi="宋体" w:eastAsia="宋体" w:cs="宋体"/>
                <w:color w:val="auto"/>
                <w:sz w:val="24"/>
                <w:szCs w:val="24"/>
                <w:highlight w:val="none"/>
                <w:shd w:val="clear" w:color="auto" w:fill="auto"/>
              </w:rPr>
            </w:pPr>
          </w:p>
        </w:tc>
      </w:tr>
      <w:tr w14:paraId="05D7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253" w:type="dxa"/>
            <w:gridSpan w:val="4"/>
            <w:tcBorders>
              <w:top w:val="single" w:color="auto" w:sz="4" w:space="0"/>
              <w:left w:val="single" w:color="auto" w:sz="4" w:space="0"/>
              <w:bottom w:val="single" w:color="auto" w:sz="4" w:space="0"/>
              <w:right w:val="single" w:color="auto" w:sz="4" w:space="0"/>
            </w:tcBorders>
            <w:vAlign w:val="center"/>
          </w:tcPr>
          <w:p w14:paraId="71F0321C">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强制节能产品总价（元）</w:t>
            </w:r>
          </w:p>
        </w:tc>
        <w:tc>
          <w:tcPr>
            <w:tcW w:w="3987" w:type="dxa"/>
            <w:gridSpan w:val="3"/>
            <w:tcBorders>
              <w:top w:val="single" w:color="auto" w:sz="4" w:space="0"/>
              <w:left w:val="single" w:color="auto" w:sz="4" w:space="0"/>
              <w:bottom w:val="single" w:color="auto" w:sz="4" w:space="0"/>
              <w:right w:val="single" w:color="auto" w:sz="4" w:space="0"/>
            </w:tcBorders>
            <w:vAlign w:val="center"/>
          </w:tcPr>
          <w:p w14:paraId="6D1B5703">
            <w:pPr>
              <w:spacing w:line="360" w:lineRule="auto"/>
              <w:jc w:val="center"/>
              <w:rPr>
                <w:rFonts w:hint="eastAsia" w:ascii="宋体" w:hAnsi="宋体" w:eastAsia="宋体" w:cs="宋体"/>
                <w:color w:val="auto"/>
                <w:sz w:val="24"/>
                <w:szCs w:val="24"/>
                <w:highlight w:val="none"/>
                <w:shd w:val="clear" w:color="auto" w:fill="auto"/>
              </w:rPr>
            </w:pPr>
          </w:p>
        </w:tc>
      </w:tr>
    </w:tbl>
    <w:p w14:paraId="2A5D81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附注</w:t>
      </w:r>
      <w:r>
        <w:rPr>
          <w:rFonts w:hint="eastAsia" w:ascii="宋体" w:hAnsi="宋体" w:eastAsia="宋体" w:cs="宋体"/>
          <w:color w:val="auto"/>
          <w:sz w:val="24"/>
          <w:szCs w:val="24"/>
          <w:highlight w:val="none"/>
          <w:shd w:val="clear" w:color="auto" w:fill="auto"/>
          <w:lang w:eastAsia="zh-CN"/>
        </w:rPr>
        <w:t>：</w:t>
      </w:r>
    </w:p>
    <w:p w14:paraId="414EE2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1、强制节能产品是指《节能产品政府采购品目清单》中标注的强制采购的节能产品，具体为品目清单中有“★”标注的产品； </w:t>
      </w:r>
    </w:p>
    <w:p w14:paraId="03A20C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 xml:space="preserve">须附所报产品的有效期内的“节能产品认证证书”原件扫描件加盖公章，以及所报产品在《节能产品政府采购品目清单》所在行截图扫描件，否则评委有权利不予认定； </w:t>
      </w:r>
    </w:p>
    <w:p w14:paraId="58DEAD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3、本表只填写强制节能产</w:t>
      </w:r>
      <w:r>
        <w:rPr>
          <w:rFonts w:hint="eastAsia" w:ascii="宋体" w:hAnsi="宋体" w:eastAsia="宋体" w:cs="宋体"/>
          <w:b w:val="0"/>
          <w:bCs w:val="0"/>
          <w:color w:val="auto"/>
          <w:sz w:val="24"/>
          <w:szCs w:val="24"/>
          <w:highlight w:val="none"/>
          <w:shd w:val="clear" w:color="auto" w:fill="auto"/>
        </w:rPr>
        <w:t xml:space="preserve">品。强制节能产品和项目要求不一致如数量、规格不同或多填入其它产品，评委均有权利不予认定； </w:t>
      </w:r>
    </w:p>
    <w:p w14:paraId="086F99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val="0"/>
          <w:bCs w:val="0"/>
          <w:color w:val="auto"/>
          <w:sz w:val="24"/>
          <w:szCs w:val="24"/>
          <w:highlight w:val="none"/>
          <w:shd w:val="clear" w:color="auto" w:fill="auto"/>
        </w:rPr>
        <w:t>4、采购中涉及强制节能产品时必须填写本表，否则评委有权不予认定，其报价无效，不予评审。</w:t>
      </w:r>
      <w:r>
        <w:rPr>
          <w:rFonts w:hint="eastAsia" w:ascii="宋体" w:hAnsi="宋体" w:eastAsia="宋体" w:cs="宋体"/>
          <w:b w:val="0"/>
          <w:bCs/>
          <w:sz w:val="28"/>
          <w:szCs w:val="28"/>
          <w:highlight w:val="none"/>
          <w:lang w:val="en-US" w:eastAsia="zh-CN"/>
        </w:rPr>
        <w:br w:type="page"/>
      </w:r>
    </w:p>
    <w:p w14:paraId="361D19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8"/>
          <w:szCs w:val="28"/>
          <w:highlight w:val="none"/>
          <w:shd w:val="clear" w:color="auto" w:fill="auto"/>
          <w:lang w:val="en-US" w:eastAsia="zh-CN"/>
        </w:rPr>
      </w:pPr>
      <w:r>
        <w:rPr>
          <w:rFonts w:hint="eastAsia" w:ascii="宋体" w:hAnsi="宋体" w:eastAsia="宋体" w:cs="宋体"/>
          <w:b/>
          <w:color w:val="auto"/>
          <w:sz w:val="28"/>
          <w:szCs w:val="28"/>
          <w:highlight w:val="none"/>
          <w:shd w:val="clear" w:color="auto" w:fill="auto"/>
          <w:lang w:val="en-US" w:eastAsia="zh-CN"/>
        </w:rPr>
        <w:t>附件：节能产品报价说明表二</w:t>
      </w:r>
    </w:p>
    <w:p w14:paraId="5E8646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项目编号：</w:t>
      </w:r>
    </w:p>
    <w:p w14:paraId="42011F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30"/>
          <w:szCs w:val="30"/>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供应商名称：</w:t>
      </w:r>
      <w:r>
        <w:rPr>
          <w:rFonts w:hint="eastAsia" w:ascii="宋体" w:hAnsi="宋体" w:eastAsia="宋体" w:cs="宋体"/>
          <w:color w:val="auto"/>
          <w:sz w:val="24"/>
          <w:szCs w:val="24"/>
          <w:highlight w:val="none"/>
          <w:shd w:val="clear" w:color="auto" w:fill="auto"/>
        </w:rPr>
        <w:t>（加盖公章）</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w:t>
      </w:r>
    </w:p>
    <w:tbl>
      <w:tblPr>
        <w:tblStyle w:val="2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85"/>
        <w:gridCol w:w="1217"/>
        <w:gridCol w:w="2080"/>
        <w:gridCol w:w="810"/>
        <w:gridCol w:w="1559"/>
        <w:gridCol w:w="1619"/>
      </w:tblGrid>
      <w:tr w14:paraId="709F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240" w:type="dxa"/>
            <w:gridSpan w:val="7"/>
            <w:tcBorders>
              <w:top w:val="single" w:color="auto" w:sz="4" w:space="0"/>
              <w:left w:val="single" w:color="auto" w:sz="4" w:space="0"/>
              <w:bottom w:val="single" w:color="auto" w:sz="4" w:space="0"/>
              <w:right w:val="single" w:color="auto" w:sz="4" w:space="0"/>
            </w:tcBorders>
            <w:vAlign w:val="center"/>
          </w:tcPr>
          <w:p w14:paraId="6093B808">
            <w:pPr>
              <w:spacing w:line="360" w:lineRule="auto"/>
              <w:jc w:val="cente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优先采购的节能产品报价明细</w:t>
            </w:r>
          </w:p>
        </w:tc>
      </w:tr>
      <w:tr w14:paraId="358B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3B854605">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序号</w:t>
            </w:r>
          </w:p>
        </w:tc>
        <w:tc>
          <w:tcPr>
            <w:tcW w:w="1185" w:type="dxa"/>
            <w:tcBorders>
              <w:top w:val="single" w:color="auto" w:sz="4" w:space="0"/>
              <w:left w:val="single" w:color="auto" w:sz="4" w:space="0"/>
              <w:bottom w:val="single" w:color="auto" w:sz="4" w:space="0"/>
              <w:right w:val="single" w:color="auto" w:sz="4" w:space="0"/>
            </w:tcBorders>
            <w:vAlign w:val="center"/>
          </w:tcPr>
          <w:p w14:paraId="4E439D6C">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货物名称</w:t>
            </w:r>
          </w:p>
        </w:tc>
        <w:tc>
          <w:tcPr>
            <w:tcW w:w="1217" w:type="dxa"/>
            <w:tcBorders>
              <w:top w:val="single" w:color="auto" w:sz="4" w:space="0"/>
              <w:left w:val="single" w:color="auto" w:sz="4" w:space="0"/>
              <w:bottom w:val="single" w:color="auto" w:sz="4" w:space="0"/>
              <w:right w:val="single" w:color="auto" w:sz="4" w:space="0"/>
            </w:tcBorders>
            <w:vAlign w:val="center"/>
          </w:tcPr>
          <w:p w14:paraId="7BEA8A6E">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型号/规格</w:t>
            </w:r>
          </w:p>
        </w:tc>
        <w:tc>
          <w:tcPr>
            <w:tcW w:w="2080" w:type="dxa"/>
            <w:tcBorders>
              <w:top w:val="single" w:color="auto" w:sz="4" w:space="0"/>
              <w:left w:val="single" w:color="auto" w:sz="4" w:space="0"/>
              <w:bottom w:val="single" w:color="auto" w:sz="4" w:space="0"/>
              <w:right w:val="single" w:color="auto" w:sz="4" w:space="0"/>
            </w:tcBorders>
            <w:vAlign w:val="center"/>
          </w:tcPr>
          <w:p w14:paraId="464BE8B7">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节能产品认证</w:t>
            </w:r>
          </w:p>
          <w:p w14:paraId="6F580546">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证书号</w:t>
            </w:r>
          </w:p>
        </w:tc>
        <w:tc>
          <w:tcPr>
            <w:tcW w:w="810" w:type="dxa"/>
            <w:tcBorders>
              <w:top w:val="single" w:color="auto" w:sz="4" w:space="0"/>
              <w:left w:val="single" w:color="auto" w:sz="4" w:space="0"/>
              <w:bottom w:val="single" w:color="auto" w:sz="4" w:space="0"/>
              <w:right w:val="single" w:color="auto" w:sz="4" w:space="0"/>
            </w:tcBorders>
            <w:vAlign w:val="center"/>
          </w:tcPr>
          <w:p w14:paraId="7102F92A">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数量</w:t>
            </w:r>
          </w:p>
        </w:tc>
        <w:tc>
          <w:tcPr>
            <w:tcW w:w="1559" w:type="dxa"/>
            <w:tcBorders>
              <w:top w:val="single" w:color="auto" w:sz="4" w:space="0"/>
              <w:left w:val="single" w:color="auto" w:sz="4" w:space="0"/>
              <w:bottom w:val="single" w:color="auto" w:sz="4" w:space="0"/>
              <w:right w:val="single" w:color="auto" w:sz="4" w:space="0"/>
            </w:tcBorders>
            <w:vAlign w:val="center"/>
          </w:tcPr>
          <w:p w14:paraId="786AF41A">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单价（元）</w:t>
            </w:r>
          </w:p>
        </w:tc>
        <w:tc>
          <w:tcPr>
            <w:tcW w:w="1619" w:type="dxa"/>
            <w:tcBorders>
              <w:top w:val="single" w:color="auto" w:sz="4" w:space="0"/>
              <w:left w:val="single" w:color="auto" w:sz="4" w:space="0"/>
              <w:bottom w:val="single" w:color="auto" w:sz="4" w:space="0"/>
              <w:right w:val="single" w:color="auto" w:sz="4" w:space="0"/>
            </w:tcBorders>
            <w:vAlign w:val="center"/>
          </w:tcPr>
          <w:p w14:paraId="24192B84">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合价（元）</w:t>
            </w:r>
          </w:p>
        </w:tc>
      </w:tr>
      <w:tr w14:paraId="514F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5FFB97F3">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1185" w:type="dxa"/>
            <w:tcBorders>
              <w:top w:val="single" w:color="auto" w:sz="4" w:space="0"/>
              <w:left w:val="single" w:color="auto" w:sz="4" w:space="0"/>
              <w:bottom w:val="single" w:color="auto" w:sz="4" w:space="0"/>
              <w:right w:val="single" w:color="auto" w:sz="4" w:space="0"/>
            </w:tcBorders>
            <w:vAlign w:val="center"/>
          </w:tcPr>
          <w:p w14:paraId="6361AE18">
            <w:pPr>
              <w:spacing w:line="360" w:lineRule="auto"/>
              <w:jc w:val="center"/>
              <w:rPr>
                <w:rFonts w:hint="eastAsia" w:ascii="宋体" w:hAnsi="宋体" w:eastAsia="宋体" w:cs="宋体"/>
                <w:color w:val="auto"/>
                <w:sz w:val="24"/>
                <w:szCs w:val="24"/>
                <w:highlight w:val="none"/>
                <w:shd w:val="clear" w:color="auto" w:fill="auto"/>
              </w:rPr>
            </w:pPr>
          </w:p>
        </w:tc>
        <w:tc>
          <w:tcPr>
            <w:tcW w:w="1217" w:type="dxa"/>
            <w:tcBorders>
              <w:top w:val="single" w:color="auto" w:sz="4" w:space="0"/>
              <w:left w:val="single" w:color="auto" w:sz="4" w:space="0"/>
              <w:bottom w:val="single" w:color="auto" w:sz="4" w:space="0"/>
              <w:right w:val="single" w:color="auto" w:sz="4" w:space="0"/>
            </w:tcBorders>
            <w:vAlign w:val="center"/>
          </w:tcPr>
          <w:p w14:paraId="42D90EB3">
            <w:pPr>
              <w:spacing w:line="360" w:lineRule="auto"/>
              <w:jc w:val="center"/>
              <w:rPr>
                <w:rFonts w:hint="eastAsia" w:ascii="宋体" w:hAnsi="宋体" w:eastAsia="宋体" w:cs="宋体"/>
                <w:color w:val="auto"/>
                <w:sz w:val="24"/>
                <w:szCs w:val="24"/>
                <w:highlight w:val="none"/>
                <w:shd w:val="clear" w:color="auto" w:fill="auto"/>
              </w:rPr>
            </w:pPr>
          </w:p>
        </w:tc>
        <w:tc>
          <w:tcPr>
            <w:tcW w:w="2080" w:type="dxa"/>
            <w:tcBorders>
              <w:top w:val="single" w:color="auto" w:sz="4" w:space="0"/>
              <w:left w:val="single" w:color="auto" w:sz="4" w:space="0"/>
              <w:bottom w:val="single" w:color="auto" w:sz="4" w:space="0"/>
              <w:right w:val="single" w:color="auto" w:sz="4" w:space="0"/>
            </w:tcBorders>
            <w:vAlign w:val="center"/>
          </w:tcPr>
          <w:p w14:paraId="5E74F081">
            <w:pPr>
              <w:spacing w:line="360" w:lineRule="auto"/>
              <w:jc w:val="center"/>
              <w:rPr>
                <w:rFonts w:hint="eastAsia" w:ascii="宋体" w:hAnsi="宋体" w:eastAsia="宋体" w:cs="宋体"/>
                <w:color w:val="auto"/>
                <w:sz w:val="24"/>
                <w:szCs w:val="24"/>
                <w:highlight w:val="none"/>
                <w:shd w:val="clear" w:color="auto" w:fill="auto"/>
              </w:rPr>
            </w:pPr>
          </w:p>
        </w:tc>
        <w:tc>
          <w:tcPr>
            <w:tcW w:w="810" w:type="dxa"/>
            <w:tcBorders>
              <w:top w:val="single" w:color="auto" w:sz="4" w:space="0"/>
              <w:left w:val="single" w:color="auto" w:sz="4" w:space="0"/>
              <w:bottom w:val="single" w:color="auto" w:sz="4" w:space="0"/>
              <w:right w:val="single" w:color="auto" w:sz="4" w:space="0"/>
            </w:tcBorders>
            <w:vAlign w:val="center"/>
          </w:tcPr>
          <w:p w14:paraId="4F9EC23F">
            <w:pPr>
              <w:spacing w:line="360" w:lineRule="auto"/>
              <w:jc w:val="center"/>
              <w:rPr>
                <w:rFonts w:hint="eastAsia" w:ascii="宋体" w:hAnsi="宋体" w:eastAsia="宋体" w:cs="宋体"/>
                <w:color w:val="auto"/>
                <w:sz w:val="24"/>
                <w:szCs w:val="24"/>
                <w:highlight w:val="none"/>
                <w:shd w:val="clear" w:color="auto" w:fill="auto"/>
              </w:rPr>
            </w:pPr>
          </w:p>
        </w:tc>
        <w:tc>
          <w:tcPr>
            <w:tcW w:w="1559" w:type="dxa"/>
            <w:tcBorders>
              <w:top w:val="single" w:color="auto" w:sz="4" w:space="0"/>
              <w:left w:val="single" w:color="auto" w:sz="4" w:space="0"/>
              <w:bottom w:val="single" w:color="auto" w:sz="4" w:space="0"/>
              <w:right w:val="single" w:color="auto" w:sz="4" w:space="0"/>
            </w:tcBorders>
            <w:vAlign w:val="center"/>
          </w:tcPr>
          <w:p w14:paraId="171B8460">
            <w:pPr>
              <w:spacing w:line="360" w:lineRule="auto"/>
              <w:jc w:val="center"/>
              <w:rPr>
                <w:rFonts w:hint="eastAsia" w:ascii="宋体" w:hAnsi="宋体" w:eastAsia="宋体" w:cs="宋体"/>
                <w:color w:val="auto"/>
                <w:sz w:val="24"/>
                <w:szCs w:val="24"/>
                <w:highlight w:val="none"/>
                <w:shd w:val="clear" w:color="auto" w:fill="auto"/>
              </w:rPr>
            </w:pPr>
          </w:p>
        </w:tc>
        <w:tc>
          <w:tcPr>
            <w:tcW w:w="1619" w:type="dxa"/>
            <w:tcBorders>
              <w:top w:val="single" w:color="auto" w:sz="4" w:space="0"/>
              <w:left w:val="single" w:color="auto" w:sz="4" w:space="0"/>
              <w:bottom w:val="single" w:color="auto" w:sz="4" w:space="0"/>
              <w:right w:val="single" w:color="auto" w:sz="4" w:space="0"/>
            </w:tcBorders>
            <w:vAlign w:val="center"/>
          </w:tcPr>
          <w:p w14:paraId="3988FB8A">
            <w:pPr>
              <w:spacing w:line="360" w:lineRule="auto"/>
              <w:jc w:val="center"/>
              <w:rPr>
                <w:rFonts w:hint="eastAsia" w:ascii="宋体" w:hAnsi="宋体" w:eastAsia="宋体" w:cs="宋体"/>
                <w:color w:val="auto"/>
                <w:sz w:val="24"/>
                <w:szCs w:val="24"/>
                <w:highlight w:val="none"/>
                <w:shd w:val="clear" w:color="auto" w:fill="auto"/>
              </w:rPr>
            </w:pPr>
          </w:p>
        </w:tc>
      </w:tr>
      <w:tr w14:paraId="6F6E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04741FF5">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p>
        </w:tc>
        <w:tc>
          <w:tcPr>
            <w:tcW w:w="1185" w:type="dxa"/>
            <w:tcBorders>
              <w:top w:val="single" w:color="auto" w:sz="4" w:space="0"/>
              <w:left w:val="single" w:color="auto" w:sz="4" w:space="0"/>
              <w:bottom w:val="single" w:color="auto" w:sz="4" w:space="0"/>
              <w:right w:val="single" w:color="auto" w:sz="4" w:space="0"/>
            </w:tcBorders>
            <w:vAlign w:val="center"/>
          </w:tcPr>
          <w:p w14:paraId="28CDA351">
            <w:pPr>
              <w:spacing w:line="360" w:lineRule="auto"/>
              <w:jc w:val="center"/>
              <w:rPr>
                <w:rFonts w:hint="eastAsia" w:ascii="宋体" w:hAnsi="宋体" w:eastAsia="宋体" w:cs="宋体"/>
                <w:color w:val="auto"/>
                <w:sz w:val="24"/>
                <w:szCs w:val="24"/>
                <w:highlight w:val="none"/>
                <w:shd w:val="clear" w:color="auto" w:fill="auto"/>
              </w:rPr>
            </w:pPr>
          </w:p>
        </w:tc>
        <w:tc>
          <w:tcPr>
            <w:tcW w:w="1217" w:type="dxa"/>
            <w:tcBorders>
              <w:top w:val="single" w:color="auto" w:sz="4" w:space="0"/>
              <w:left w:val="single" w:color="auto" w:sz="4" w:space="0"/>
              <w:bottom w:val="single" w:color="auto" w:sz="4" w:space="0"/>
              <w:right w:val="single" w:color="auto" w:sz="4" w:space="0"/>
            </w:tcBorders>
            <w:vAlign w:val="center"/>
          </w:tcPr>
          <w:p w14:paraId="20699AED">
            <w:pPr>
              <w:spacing w:line="360" w:lineRule="auto"/>
              <w:jc w:val="center"/>
              <w:rPr>
                <w:rFonts w:hint="eastAsia" w:ascii="宋体" w:hAnsi="宋体" w:eastAsia="宋体" w:cs="宋体"/>
                <w:color w:val="auto"/>
                <w:sz w:val="24"/>
                <w:szCs w:val="24"/>
                <w:highlight w:val="none"/>
                <w:shd w:val="clear" w:color="auto" w:fill="auto"/>
              </w:rPr>
            </w:pPr>
          </w:p>
        </w:tc>
        <w:tc>
          <w:tcPr>
            <w:tcW w:w="2080" w:type="dxa"/>
            <w:tcBorders>
              <w:top w:val="single" w:color="auto" w:sz="4" w:space="0"/>
              <w:left w:val="single" w:color="auto" w:sz="4" w:space="0"/>
              <w:bottom w:val="single" w:color="auto" w:sz="4" w:space="0"/>
              <w:right w:val="single" w:color="auto" w:sz="4" w:space="0"/>
            </w:tcBorders>
            <w:vAlign w:val="center"/>
          </w:tcPr>
          <w:p w14:paraId="3F5E5D30">
            <w:pPr>
              <w:spacing w:line="360" w:lineRule="auto"/>
              <w:jc w:val="center"/>
              <w:rPr>
                <w:rFonts w:hint="eastAsia" w:ascii="宋体" w:hAnsi="宋体" w:eastAsia="宋体" w:cs="宋体"/>
                <w:color w:val="auto"/>
                <w:sz w:val="24"/>
                <w:szCs w:val="24"/>
                <w:highlight w:val="none"/>
                <w:shd w:val="clear" w:color="auto" w:fill="auto"/>
              </w:rPr>
            </w:pPr>
          </w:p>
        </w:tc>
        <w:tc>
          <w:tcPr>
            <w:tcW w:w="810" w:type="dxa"/>
            <w:tcBorders>
              <w:top w:val="single" w:color="auto" w:sz="4" w:space="0"/>
              <w:left w:val="single" w:color="auto" w:sz="4" w:space="0"/>
              <w:bottom w:val="single" w:color="auto" w:sz="4" w:space="0"/>
              <w:right w:val="single" w:color="auto" w:sz="4" w:space="0"/>
            </w:tcBorders>
            <w:vAlign w:val="center"/>
          </w:tcPr>
          <w:p w14:paraId="7F7CC8DC">
            <w:pPr>
              <w:spacing w:line="360" w:lineRule="auto"/>
              <w:jc w:val="center"/>
              <w:rPr>
                <w:rFonts w:hint="eastAsia" w:ascii="宋体" w:hAnsi="宋体" w:eastAsia="宋体" w:cs="宋体"/>
                <w:color w:val="auto"/>
                <w:sz w:val="24"/>
                <w:szCs w:val="24"/>
                <w:highlight w:val="none"/>
                <w:shd w:val="clear" w:color="auto" w:fill="auto"/>
              </w:rPr>
            </w:pPr>
          </w:p>
        </w:tc>
        <w:tc>
          <w:tcPr>
            <w:tcW w:w="1559" w:type="dxa"/>
            <w:tcBorders>
              <w:top w:val="single" w:color="auto" w:sz="4" w:space="0"/>
              <w:left w:val="single" w:color="auto" w:sz="4" w:space="0"/>
              <w:bottom w:val="single" w:color="auto" w:sz="4" w:space="0"/>
              <w:right w:val="single" w:color="auto" w:sz="4" w:space="0"/>
            </w:tcBorders>
            <w:vAlign w:val="center"/>
          </w:tcPr>
          <w:p w14:paraId="041EE2C2">
            <w:pPr>
              <w:spacing w:line="360" w:lineRule="auto"/>
              <w:jc w:val="center"/>
              <w:rPr>
                <w:rFonts w:hint="eastAsia" w:ascii="宋体" w:hAnsi="宋体" w:eastAsia="宋体" w:cs="宋体"/>
                <w:color w:val="auto"/>
                <w:sz w:val="24"/>
                <w:szCs w:val="24"/>
                <w:highlight w:val="none"/>
                <w:shd w:val="clear" w:color="auto" w:fill="auto"/>
              </w:rPr>
            </w:pPr>
          </w:p>
        </w:tc>
        <w:tc>
          <w:tcPr>
            <w:tcW w:w="1619" w:type="dxa"/>
            <w:tcBorders>
              <w:top w:val="single" w:color="auto" w:sz="4" w:space="0"/>
              <w:left w:val="single" w:color="auto" w:sz="4" w:space="0"/>
              <w:bottom w:val="single" w:color="auto" w:sz="4" w:space="0"/>
              <w:right w:val="single" w:color="auto" w:sz="4" w:space="0"/>
            </w:tcBorders>
            <w:vAlign w:val="center"/>
          </w:tcPr>
          <w:p w14:paraId="0EA69F90">
            <w:pPr>
              <w:spacing w:line="360" w:lineRule="auto"/>
              <w:jc w:val="center"/>
              <w:rPr>
                <w:rFonts w:hint="eastAsia" w:ascii="宋体" w:hAnsi="宋体" w:eastAsia="宋体" w:cs="宋体"/>
                <w:color w:val="auto"/>
                <w:sz w:val="24"/>
                <w:szCs w:val="24"/>
                <w:highlight w:val="none"/>
                <w:shd w:val="clear" w:color="auto" w:fill="auto"/>
              </w:rPr>
            </w:pPr>
          </w:p>
        </w:tc>
      </w:tr>
      <w:tr w14:paraId="0836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4ACF6B07">
            <w:pPr>
              <w:spacing w:line="360" w:lineRule="auto"/>
              <w:jc w:val="center"/>
              <w:rPr>
                <w:rFonts w:hint="eastAsia" w:ascii="宋体" w:hAnsi="宋体" w:eastAsia="宋体" w:cs="宋体"/>
                <w:color w:val="auto"/>
                <w:sz w:val="24"/>
                <w:szCs w:val="24"/>
                <w:highlight w:val="none"/>
                <w:shd w:val="clear" w:color="auto" w:fill="auto"/>
              </w:rPr>
            </w:pPr>
          </w:p>
        </w:tc>
        <w:tc>
          <w:tcPr>
            <w:tcW w:w="1185" w:type="dxa"/>
            <w:tcBorders>
              <w:top w:val="single" w:color="auto" w:sz="4" w:space="0"/>
              <w:left w:val="single" w:color="auto" w:sz="4" w:space="0"/>
              <w:bottom w:val="single" w:color="auto" w:sz="4" w:space="0"/>
              <w:right w:val="single" w:color="auto" w:sz="4" w:space="0"/>
            </w:tcBorders>
            <w:vAlign w:val="center"/>
          </w:tcPr>
          <w:p w14:paraId="4005438F">
            <w:pPr>
              <w:spacing w:line="360" w:lineRule="auto"/>
              <w:jc w:val="center"/>
              <w:rPr>
                <w:rFonts w:hint="eastAsia" w:ascii="宋体" w:hAnsi="宋体" w:eastAsia="宋体" w:cs="宋体"/>
                <w:color w:val="auto"/>
                <w:sz w:val="24"/>
                <w:szCs w:val="24"/>
                <w:highlight w:val="none"/>
                <w:shd w:val="clear" w:color="auto" w:fill="auto"/>
              </w:rPr>
            </w:pPr>
          </w:p>
        </w:tc>
        <w:tc>
          <w:tcPr>
            <w:tcW w:w="1217" w:type="dxa"/>
            <w:tcBorders>
              <w:top w:val="single" w:color="auto" w:sz="4" w:space="0"/>
              <w:left w:val="single" w:color="auto" w:sz="4" w:space="0"/>
              <w:bottom w:val="single" w:color="auto" w:sz="4" w:space="0"/>
              <w:right w:val="single" w:color="auto" w:sz="4" w:space="0"/>
            </w:tcBorders>
            <w:vAlign w:val="center"/>
          </w:tcPr>
          <w:p w14:paraId="1A9EA3DE">
            <w:pPr>
              <w:spacing w:line="360" w:lineRule="auto"/>
              <w:jc w:val="center"/>
              <w:rPr>
                <w:rFonts w:hint="eastAsia" w:ascii="宋体" w:hAnsi="宋体" w:eastAsia="宋体" w:cs="宋体"/>
                <w:color w:val="auto"/>
                <w:sz w:val="24"/>
                <w:szCs w:val="24"/>
                <w:highlight w:val="none"/>
                <w:shd w:val="clear" w:color="auto" w:fill="auto"/>
              </w:rPr>
            </w:pPr>
          </w:p>
        </w:tc>
        <w:tc>
          <w:tcPr>
            <w:tcW w:w="2080" w:type="dxa"/>
            <w:tcBorders>
              <w:top w:val="single" w:color="auto" w:sz="4" w:space="0"/>
              <w:left w:val="single" w:color="auto" w:sz="4" w:space="0"/>
              <w:bottom w:val="single" w:color="auto" w:sz="4" w:space="0"/>
              <w:right w:val="single" w:color="auto" w:sz="4" w:space="0"/>
            </w:tcBorders>
            <w:vAlign w:val="center"/>
          </w:tcPr>
          <w:p w14:paraId="255D60DD">
            <w:pPr>
              <w:spacing w:line="360" w:lineRule="auto"/>
              <w:jc w:val="center"/>
              <w:rPr>
                <w:rFonts w:hint="eastAsia" w:ascii="宋体" w:hAnsi="宋体" w:eastAsia="宋体" w:cs="宋体"/>
                <w:color w:val="auto"/>
                <w:sz w:val="24"/>
                <w:szCs w:val="24"/>
                <w:highlight w:val="none"/>
                <w:shd w:val="clear" w:color="auto" w:fill="auto"/>
              </w:rPr>
            </w:pPr>
          </w:p>
        </w:tc>
        <w:tc>
          <w:tcPr>
            <w:tcW w:w="810" w:type="dxa"/>
            <w:tcBorders>
              <w:top w:val="single" w:color="auto" w:sz="4" w:space="0"/>
              <w:left w:val="single" w:color="auto" w:sz="4" w:space="0"/>
              <w:bottom w:val="single" w:color="auto" w:sz="4" w:space="0"/>
              <w:right w:val="single" w:color="auto" w:sz="4" w:space="0"/>
            </w:tcBorders>
            <w:vAlign w:val="center"/>
          </w:tcPr>
          <w:p w14:paraId="41BB2F2F">
            <w:pPr>
              <w:spacing w:line="360" w:lineRule="auto"/>
              <w:jc w:val="center"/>
              <w:rPr>
                <w:rFonts w:hint="eastAsia" w:ascii="宋体" w:hAnsi="宋体" w:eastAsia="宋体" w:cs="宋体"/>
                <w:color w:val="auto"/>
                <w:sz w:val="24"/>
                <w:szCs w:val="24"/>
                <w:highlight w:val="none"/>
                <w:shd w:val="clear" w:color="auto" w:fill="auto"/>
              </w:rPr>
            </w:pPr>
          </w:p>
        </w:tc>
        <w:tc>
          <w:tcPr>
            <w:tcW w:w="1559" w:type="dxa"/>
            <w:tcBorders>
              <w:top w:val="single" w:color="auto" w:sz="4" w:space="0"/>
              <w:left w:val="single" w:color="auto" w:sz="4" w:space="0"/>
              <w:bottom w:val="single" w:color="auto" w:sz="4" w:space="0"/>
              <w:right w:val="single" w:color="auto" w:sz="4" w:space="0"/>
            </w:tcBorders>
            <w:vAlign w:val="center"/>
          </w:tcPr>
          <w:p w14:paraId="1473DD07">
            <w:pPr>
              <w:spacing w:line="360" w:lineRule="auto"/>
              <w:jc w:val="center"/>
              <w:rPr>
                <w:rFonts w:hint="eastAsia" w:ascii="宋体" w:hAnsi="宋体" w:eastAsia="宋体" w:cs="宋体"/>
                <w:color w:val="auto"/>
                <w:sz w:val="24"/>
                <w:szCs w:val="24"/>
                <w:highlight w:val="none"/>
                <w:shd w:val="clear" w:color="auto" w:fill="auto"/>
              </w:rPr>
            </w:pPr>
          </w:p>
        </w:tc>
        <w:tc>
          <w:tcPr>
            <w:tcW w:w="1619" w:type="dxa"/>
            <w:tcBorders>
              <w:top w:val="single" w:color="auto" w:sz="4" w:space="0"/>
              <w:left w:val="single" w:color="auto" w:sz="4" w:space="0"/>
              <w:bottom w:val="single" w:color="auto" w:sz="4" w:space="0"/>
              <w:right w:val="single" w:color="auto" w:sz="4" w:space="0"/>
            </w:tcBorders>
            <w:vAlign w:val="center"/>
          </w:tcPr>
          <w:p w14:paraId="4603EE64">
            <w:pPr>
              <w:spacing w:line="360" w:lineRule="auto"/>
              <w:jc w:val="center"/>
              <w:rPr>
                <w:rFonts w:hint="eastAsia" w:ascii="宋体" w:hAnsi="宋体" w:eastAsia="宋体" w:cs="宋体"/>
                <w:color w:val="auto"/>
                <w:sz w:val="24"/>
                <w:szCs w:val="24"/>
                <w:highlight w:val="none"/>
                <w:shd w:val="clear" w:color="auto" w:fill="auto"/>
              </w:rPr>
            </w:pPr>
          </w:p>
        </w:tc>
      </w:tr>
      <w:tr w14:paraId="400B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252" w:type="dxa"/>
            <w:gridSpan w:val="4"/>
            <w:tcBorders>
              <w:top w:val="single" w:color="auto" w:sz="4" w:space="0"/>
              <w:left w:val="single" w:color="auto" w:sz="4" w:space="0"/>
              <w:bottom w:val="single" w:color="auto" w:sz="4" w:space="0"/>
              <w:right w:val="single" w:color="auto" w:sz="4" w:space="0"/>
            </w:tcBorders>
            <w:vAlign w:val="center"/>
          </w:tcPr>
          <w:p w14:paraId="2FDF9169">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优先采购的节能产品总价（元）</w:t>
            </w:r>
          </w:p>
        </w:tc>
        <w:tc>
          <w:tcPr>
            <w:tcW w:w="3988" w:type="dxa"/>
            <w:gridSpan w:val="3"/>
            <w:tcBorders>
              <w:top w:val="single" w:color="auto" w:sz="4" w:space="0"/>
              <w:left w:val="single" w:color="auto" w:sz="4" w:space="0"/>
              <w:bottom w:val="single" w:color="auto" w:sz="4" w:space="0"/>
              <w:right w:val="single" w:color="auto" w:sz="4" w:space="0"/>
            </w:tcBorders>
            <w:vAlign w:val="center"/>
          </w:tcPr>
          <w:p w14:paraId="4300DEC9">
            <w:pPr>
              <w:spacing w:line="360" w:lineRule="auto"/>
              <w:jc w:val="center"/>
              <w:rPr>
                <w:rFonts w:hint="eastAsia" w:ascii="宋体" w:hAnsi="宋体" w:eastAsia="宋体" w:cs="宋体"/>
                <w:color w:val="auto"/>
                <w:sz w:val="24"/>
                <w:szCs w:val="24"/>
                <w:highlight w:val="none"/>
                <w:shd w:val="clear" w:color="auto" w:fill="auto"/>
              </w:rPr>
            </w:pPr>
          </w:p>
        </w:tc>
      </w:tr>
    </w:tbl>
    <w:p w14:paraId="3382181B">
      <w:pPr>
        <w:spacing w:line="360" w:lineRule="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附注</w:t>
      </w:r>
      <w:r>
        <w:rPr>
          <w:rFonts w:hint="eastAsia" w:ascii="宋体" w:hAnsi="宋体" w:eastAsia="宋体" w:cs="宋体"/>
          <w:color w:val="auto"/>
          <w:sz w:val="24"/>
          <w:szCs w:val="24"/>
          <w:highlight w:val="none"/>
          <w:shd w:val="clear" w:color="auto" w:fill="auto"/>
          <w:lang w:eastAsia="zh-CN"/>
        </w:rPr>
        <w:t>：</w:t>
      </w:r>
    </w:p>
    <w:p w14:paraId="37CCEE1D">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1、优先采购的节能产品是指《节能产品政府采购品目清单》中标注的强制采购的节能产品以外的节能产品； </w:t>
      </w:r>
    </w:p>
    <w:p w14:paraId="6CE52F1B">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 xml:space="preserve">须附所报产品的有效期内的“节能产品认证证书”原件扫描件加盖公章，以及所报产品在《节能产品政府采购品目清单》所在行截图的扫描件，否则评委有权利不予认定； </w:t>
      </w:r>
    </w:p>
    <w:p w14:paraId="55196C14">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3、优先采购的节能产品的认定依据《节能产品政府采购品目清单》，不在《节能产品政府采购品目清单》中标注的非强制采购的节能产品范围的，不享受政府采购价格折扣或加分； </w:t>
      </w:r>
    </w:p>
    <w:p w14:paraId="43D5DFBD">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4、采购中涉及优先采购的节能产品时必须填写本表，否则评委有权利不予认定； </w:t>
      </w:r>
    </w:p>
    <w:p w14:paraId="4F95F03B">
      <w:pPr>
        <w:spacing w:line="360" w:lineRule="auto"/>
        <w:rPr>
          <w:rFonts w:hint="eastAsia" w:ascii="宋体" w:hAnsi="宋体" w:eastAsia="宋体" w:cs="宋体"/>
          <w:b w:val="0"/>
          <w:bCs/>
          <w:sz w:val="28"/>
          <w:szCs w:val="28"/>
          <w:highlight w:val="none"/>
          <w:lang w:val="en-US" w:eastAsia="zh-CN"/>
        </w:rPr>
      </w:pPr>
      <w:r>
        <w:rPr>
          <w:rFonts w:hint="eastAsia" w:ascii="宋体" w:hAnsi="宋体" w:eastAsia="宋体" w:cs="宋体"/>
          <w:color w:val="auto"/>
          <w:sz w:val="24"/>
          <w:szCs w:val="24"/>
          <w:highlight w:val="none"/>
          <w:shd w:val="clear" w:color="auto" w:fill="auto"/>
        </w:rPr>
        <w:t>5、本表内必须全部为优先采购的节能产品，和其它产品混填本表，将不享受节能产品评审价格折扣或加分。</w:t>
      </w:r>
      <w:r>
        <w:rPr>
          <w:rFonts w:hint="eastAsia" w:ascii="宋体" w:hAnsi="宋体" w:eastAsia="宋体" w:cs="宋体"/>
          <w:b w:val="0"/>
          <w:bCs/>
          <w:sz w:val="28"/>
          <w:szCs w:val="28"/>
          <w:highlight w:val="none"/>
          <w:lang w:val="en-US" w:eastAsia="zh-CN"/>
        </w:rPr>
        <w:br w:type="page"/>
      </w:r>
    </w:p>
    <w:p w14:paraId="7605DF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8"/>
          <w:szCs w:val="28"/>
          <w:highlight w:val="none"/>
          <w:shd w:val="clear" w:color="auto" w:fill="auto"/>
          <w:lang w:val="en-US" w:eastAsia="zh-CN"/>
        </w:rPr>
      </w:pPr>
      <w:r>
        <w:rPr>
          <w:rFonts w:hint="eastAsia" w:ascii="宋体" w:hAnsi="宋体" w:eastAsia="宋体" w:cs="宋体"/>
          <w:b/>
          <w:color w:val="auto"/>
          <w:sz w:val="28"/>
          <w:szCs w:val="28"/>
          <w:highlight w:val="none"/>
          <w:shd w:val="clear" w:color="auto" w:fill="auto"/>
          <w:lang w:val="en-US" w:eastAsia="zh-CN"/>
        </w:rPr>
        <w:t>附件：环境标志产品报价说明表</w:t>
      </w:r>
    </w:p>
    <w:p w14:paraId="0EE05A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项目编号：</w:t>
      </w:r>
    </w:p>
    <w:p w14:paraId="4A2432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30"/>
          <w:szCs w:val="30"/>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供应商名称：</w:t>
      </w:r>
      <w:r>
        <w:rPr>
          <w:rFonts w:hint="eastAsia" w:ascii="宋体" w:hAnsi="宋体" w:eastAsia="宋体" w:cs="宋体"/>
          <w:color w:val="auto"/>
          <w:sz w:val="24"/>
          <w:szCs w:val="24"/>
          <w:highlight w:val="none"/>
          <w:shd w:val="clear" w:color="auto" w:fill="auto"/>
        </w:rPr>
        <w:t>（加盖公章）</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w:t>
      </w:r>
    </w:p>
    <w:tbl>
      <w:tblPr>
        <w:tblStyle w:val="27"/>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441"/>
        <w:gridCol w:w="1443"/>
        <w:gridCol w:w="2401"/>
        <w:gridCol w:w="954"/>
        <w:gridCol w:w="1060"/>
        <w:gridCol w:w="1138"/>
      </w:tblGrid>
      <w:tr w14:paraId="1B0B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3" w:type="dxa"/>
            <w:vMerge w:val="restart"/>
            <w:tcBorders>
              <w:top w:val="single" w:color="auto" w:sz="4" w:space="0"/>
              <w:left w:val="single" w:color="auto" w:sz="4" w:space="0"/>
              <w:bottom w:val="single" w:color="auto" w:sz="4" w:space="0"/>
              <w:right w:val="single" w:color="auto" w:sz="4" w:space="0"/>
            </w:tcBorders>
            <w:vAlign w:val="center"/>
          </w:tcPr>
          <w:p w14:paraId="6E5B303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序号</w:t>
            </w:r>
          </w:p>
        </w:tc>
        <w:tc>
          <w:tcPr>
            <w:tcW w:w="1441" w:type="dxa"/>
            <w:vMerge w:val="restart"/>
            <w:tcBorders>
              <w:top w:val="single" w:color="auto" w:sz="4" w:space="0"/>
              <w:left w:val="single" w:color="auto" w:sz="4" w:space="0"/>
              <w:bottom w:val="single" w:color="auto" w:sz="4" w:space="0"/>
              <w:right w:val="single" w:color="auto" w:sz="4" w:space="0"/>
            </w:tcBorders>
            <w:vAlign w:val="center"/>
          </w:tcPr>
          <w:p w14:paraId="401801C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货物名称</w:t>
            </w:r>
          </w:p>
        </w:tc>
        <w:tc>
          <w:tcPr>
            <w:tcW w:w="1443" w:type="dxa"/>
            <w:vMerge w:val="restart"/>
            <w:tcBorders>
              <w:top w:val="single" w:color="auto" w:sz="4" w:space="0"/>
              <w:left w:val="single" w:color="auto" w:sz="4" w:space="0"/>
              <w:bottom w:val="single" w:color="auto" w:sz="4" w:space="0"/>
              <w:right w:val="single" w:color="auto" w:sz="4" w:space="0"/>
            </w:tcBorders>
            <w:vAlign w:val="center"/>
          </w:tcPr>
          <w:p w14:paraId="7D01480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型号/规格</w:t>
            </w:r>
          </w:p>
        </w:tc>
        <w:tc>
          <w:tcPr>
            <w:tcW w:w="2401" w:type="dxa"/>
            <w:vMerge w:val="restart"/>
            <w:tcBorders>
              <w:top w:val="single" w:color="auto" w:sz="4" w:space="0"/>
              <w:left w:val="single" w:color="auto" w:sz="4" w:space="0"/>
              <w:bottom w:val="single" w:color="auto" w:sz="4" w:space="0"/>
              <w:right w:val="single" w:color="auto" w:sz="4" w:space="0"/>
            </w:tcBorders>
            <w:vAlign w:val="center"/>
          </w:tcPr>
          <w:p w14:paraId="15953B5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中国环境标志</w:t>
            </w:r>
          </w:p>
          <w:p w14:paraId="4FC38E0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认证证书编号</w:t>
            </w:r>
          </w:p>
        </w:tc>
        <w:tc>
          <w:tcPr>
            <w:tcW w:w="954" w:type="dxa"/>
            <w:vMerge w:val="restart"/>
            <w:tcBorders>
              <w:top w:val="single" w:color="auto" w:sz="4" w:space="0"/>
              <w:left w:val="single" w:color="auto" w:sz="4" w:space="0"/>
              <w:bottom w:val="single" w:color="auto" w:sz="4" w:space="0"/>
              <w:right w:val="single" w:color="auto" w:sz="4" w:space="0"/>
            </w:tcBorders>
            <w:vAlign w:val="center"/>
          </w:tcPr>
          <w:p w14:paraId="766CB9A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数量</w:t>
            </w:r>
          </w:p>
        </w:tc>
        <w:tc>
          <w:tcPr>
            <w:tcW w:w="1060" w:type="dxa"/>
            <w:vMerge w:val="restart"/>
            <w:tcBorders>
              <w:top w:val="single" w:color="auto" w:sz="4" w:space="0"/>
              <w:left w:val="single" w:color="auto" w:sz="4" w:space="0"/>
              <w:bottom w:val="single" w:color="auto" w:sz="4" w:space="0"/>
              <w:right w:val="single" w:color="auto" w:sz="4" w:space="0"/>
            </w:tcBorders>
            <w:vAlign w:val="center"/>
          </w:tcPr>
          <w:p w14:paraId="05BC56B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单价</w:t>
            </w:r>
          </w:p>
          <w:p w14:paraId="0DB78C6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（元）</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14:paraId="03130CF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合价</w:t>
            </w:r>
          </w:p>
          <w:p w14:paraId="5562C7C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（元）</w:t>
            </w:r>
          </w:p>
        </w:tc>
      </w:tr>
      <w:tr w14:paraId="6DD2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23" w:type="dxa"/>
            <w:vMerge w:val="continue"/>
            <w:tcBorders>
              <w:top w:val="single" w:color="auto" w:sz="4" w:space="0"/>
              <w:left w:val="single" w:color="auto" w:sz="4" w:space="0"/>
              <w:bottom w:val="single" w:color="auto" w:sz="4" w:space="0"/>
              <w:right w:val="single" w:color="auto" w:sz="4" w:space="0"/>
            </w:tcBorders>
            <w:vAlign w:val="center"/>
          </w:tcPr>
          <w:p w14:paraId="34343B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shd w:val="clear" w:color="auto" w:fill="auto"/>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14:paraId="6757570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shd w:val="clear" w:color="auto" w:fill="auto"/>
              </w:rPr>
            </w:pPr>
          </w:p>
        </w:tc>
        <w:tc>
          <w:tcPr>
            <w:tcW w:w="1443" w:type="dxa"/>
            <w:vMerge w:val="continue"/>
            <w:tcBorders>
              <w:top w:val="single" w:color="auto" w:sz="4" w:space="0"/>
              <w:left w:val="single" w:color="auto" w:sz="4" w:space="0"/>
              <w:bottom w:val="single" w:color="auto" w:sz="4" w:space="0"/>
              <w:right w:val="single" w:color="auto" w:sz="4" w:space="0"/>
            </w:tcBorders>
            <w:vAlign w:val="center"/>
          </w:tcPr>
          <w:p w14:paraId="0E2D672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shd w:val="clear" w:color="auto" w:fill="auto"/>
              </w:rPr>
            </w:pPr>
          </w:p>
        </w:tc>
        <w:tc>
          <w:tcPr>
            <w:tcW w:w="2401" w:type="dxa"/>
            <w:vMerge w:val="continue"/>
            <w:tcBorders>
              <w:top w:val="single" w:color="auto" w:sz="4" w:space="0"/>
              <w:left w:val="single" w:color="auto" w:sz="4" w:space="0"/>
              <w:bottom w:val="single" w:color="auto" w:sz="4" w:space="0"/>
              <w:right w:val="single" w:color="auto" w:sz="4" w:space="0"/>
            </w:tcBorders>
            <w:vAlign w:val="center"/>
          </w:tcPr>
          <w:p w14:paraId="7DD8F4F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shd w:val="clear" w:color="auto" w:fill="auto"/>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32C9D82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shd w:val="clear" w:color="auto" w:fill="auto"/>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14:paraId="63204A0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shd w:val="clear" w:color="auto" w:fill="auto"/>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14:paraId="6B8B679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shd w:val="clear" w:color="auto" w:fill="auto"/>
              </w:rPr>
            </w:pPr>
          </w:p>
        </w:tc>
      </w:tr>
      <w:tr w14:paraId="685D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719D549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1441" w:type="dxa"/>
            <w:tcBorders>
              <w:top w:val="single" w:color="auto" w:sz="4" w:space="0"/>
              <w:left w:val="single" w:color="auto" w:sz="4" w:space="0"/>
              <w:bottom w:val="single" w:color="auto" w:sz="4" w:space="0"/>
              <w:right w:val="single" w:color="auto" w:sz="4" w:space="0"/>
            </w:tcBorders>
            <w:vAlign w:val="center"/>
          </w:tcPr>
          <w:p w14:paraId="123B72C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vAlign w:val="center"/>
          </w:tcPr>
          <w:p w14:paraId="3689C84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c>
          <w:tcPr>
            <w:tcW w:w="2401" w:type="dxa"/>
            <w:tcBorders>
              <w:top w:val="single" w:color="auto" w:sz="4" w:space="0"/>
              <w:left w:val="single" w:color="auto" w:sz="4" w:space="0"/>
              <w:bottom w:val="single" w:color="auto" w:sz="4" w:space="0"/>
              <w:right w:val="single" w:color="auto" w:sz="4" w:space="0"/>
            </w:tcBorders>
            <w:vAlign w:val="center"/>
          </w:tcPr>
          <w:p w14:paraId="1125BD3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c>
          <w:tcPr>
            <w:tcW w:w="954" w:type="dxa"/>
            <w:tcBorders>
              <w:top w:val="single" w:color="auto" w:sz="4" w:space="0"/>
              <w:left w:val="single" w:color="auto" w:sz="4" w:space="0"/>
              <w:bottom w:val="single" w:color="auto" w:sz="4" w:space="0"/>
              <w:right w:val="single" w:color="auto" w:sz="4" w:space="0"/>
            </w:tcBorders>
            <w:vAlign w:val="center"/>
          </w:tcPr>
          <w:p w14:paraId="61B7A2A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c>
          <w:tcPr>
            <w:tcW w:w="1060" w:type="dxa"/>
            <w:tcBorders>
              <w:top w:val="single" w:color="auto" w:sz="4" w:space="0"/>
              <w:left w:val="single" w:color="auto" w:sz="4" w:space="0"/>
              <w:bottom w:val="single" w:color="auto" w:sz="4" w:space="0"/>
              <w:right w:val="single" w:color="auto" w:sz="4" w:space="0"/>
            </w:tcBorders>
            <w:vAlign w:val="center"/>
          </w:tcPr>
          <w:p w14:paraId="2148BC7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c>
          <w:tcPr>
            <w:tcW w:w="1138" w:type="dxa"/>
            <w:tcBorders>
              <w:top w:val="single" w:color="auto" w:sz="4" w:space="0"/>
              <w:left w:val="single" w:color="auto" w:sz="4" w:space="0"/>
              <w:bottom w:val="single" w:color="auto" w:sz="4" w:space="0"/>
              <w:right w:val="single" w:color="auto" w:sz="4" w:space="0"/>
            </w:tcBorders>
            <w:vAlign w:val="center"/>
          </w:tcPr>
          <w:p w14:paraId="5F300A9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r>
      <w:tr w14:paraId="18B4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3140054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p>
        </w:tc>
        <w:tc>
          <w:tcPr>
            <w:tcW w:w="1441" w:type="dxa"/>
            <w:tcBorders>
              <w:top w:val="single" w:color="auto" w:sz="4" w:space="0"/>
              <w:left w:val="single" w:color="auto" w:sz="4" w:space="0"/>
              <w:bottom w:val="single" w:color="auto" w:sz="4" w:space="0"/>
              <w:right w:val="single" w:color="auto" w:sz="4" w:space="0"/>
            </w:tcBorders>
            <w:vAlign w:val="center"/>
          </w:tcPr>
          <w:p w14:paraId="0C5F308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vAlign w:val="center"/>
          </w:tcPr>
          <w:p w14:paraId="5AFC6C5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c>
          <w:tcPr>
            <w:tcW w:w="2401" w:type="dxa"/>
            <w:tcBorders>
              <w:top w:val="single" w:color="auto" w:sz="4" w:space="0"/>
              <w:left w:val="single" w:color="auto" w:sz="4" w:space="0"/>
              <w:bottom w:val="single" w:color="auto" w:sz="4" w:space="0"/>
              <w:right w:val="single" w:color="auto" w:sz="4" w:space="0"/>
            </w:tcBorders>
            <w:vAlign w:val="center"/>
          </w:tcPr>
          <w:p w14:paraId="1897DA5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c>
          <w:tcPr>
            <w:tcW w:w="954" w:type="dxa"/>
            <w:tcBorders>
              <w:top w:val="single" w:color="auto" w:sz="4" w:space="0"/>
              <w:left w:val="single" w:color="auto" w:sz="4" w:space="0"/>
              <w:bottom w:val="single" w:color="auto" w:sz="4" w:space="0"/>
              <w:right w:val="single" w:color="auto" w:sz="4" w:space="0"/>
            </w:tcBorders>
            <w:vAlign w:val="center"/>
          </w:tcPr>
          <w:p w14:paraId="0328D46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c>
          <w:tcPr>
            <w:tcW w:w="1060" w:type="dxa"/>
            <w:tcBorders>
              <w:top w:val="single" w:color="auto" w:sz="4" w:space="0"/>
              <w:left w:val="single" w:color="auto" w:sz="4" w:space="0"/>
              <w:bottom w:val="single" w:color="auto" w:sz="4" w:space="0"/>
              <w:right w:val="single" w:color="auto" w:sz="4" w:space="0"/>
            </w:tcBorders>
            <w:vAlign w:val="center"/>
          </w:tcPr>
          <w:p w14:paraId="0B3A72E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c>
          <w:tcPr>
            <w:tcW w:w="1138" w:type="dxa"/>
            <w:tcBorders>
              <w:top w:val="single" w:color="auto" w:sz="4" w:space="0"/>
              <w:left w:val="single" w:color="auto" w:sz="4" w:space="0"/>
              <w:bottom w:val="single" w:color="auto" w:sz="4" w:space="0"/>
              <w:right w:val="single" w:color="auto" w:sz="4" w:space="0"/>
            </w:tcBorders>
            <w:vAlign w:val="center"/>
          </w:tcPr>
          <w:p w14:paraId="5A73749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r>
      <w:tr w14:paraId="5E26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5C25020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c>
          <w:tcPr>
            <w:tcW w:w="1441" w:type="dxa"/>
            <w:tcBorders>
              <w:top w:val="single" w:color="auto" w:sz="4" w:space="0"/>
              <w:left w:val="single" w:color="auto" w:sz="4" w:space="0"/>
              <w:bottom w:val="single" w:color="auto" w:sz="4" w:space="0"/>
              <w:right w:val="single" w:color="auto" w:sz="4" w:space="0"/>
            </w:tcBorders>
            <w:vAlign w:val="center"/>
          </w:tcPr>
          <w:p w14:paraId="3272CC7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vAlign w:val="center"/>
          </w:tcPr>
          <w:p w14:paraId="6BEC16B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c>
          <w:tcPr>
            <w:tcW w:w="2401" w:type="dxa"/>
            <w:tcBorders>
              <w:top w:val="single" w:color="auto" w:sz="4" w:space="0"/>
              <w:left w:val="single" w:color="auto" w:sz="4" w:space="0"/>
              <w:bottom w:val="single" w:color="auto" w:sz="4" w:space="0"/>
              <w:right w:val="single" w:color="auto" w:sz="4" w:space="0"/>
            </w:tcBorders>
            <w:vAlign w:val="center"/>
          </w:tcPr>
          <w:p w14:paraId="7F1894F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c>
          <w:tcPr>
            <w:tcW w:w="954" w:type="dxa"/>
            <w:tcBorders>
              <w:top w:val="single" w:color="auto" w:sz="4" w:space="0"/>
              <w:left w:val="single" w:color="auto" w:sz="4" w:space="0"/>
              <w:bottom w:val="single" w:color="auto" w:sz="4" w:space="0"/>
              <w:right w:val="single" w:color="auto" w:sz="4" w:space="0"/>
            </w:tcBorders>
            <w:vAlign w:val="center"/>
          </w:tcPr>
          <w:p w14:paraId="3E7404F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c>
          <w:tcPr>
            <w:tcW w:w="1060" w:type="dxa"/>
            <w:tcBorders>
              <w:top w:val="single" w:color="auto" w:sz="4" w:space="0"/>
              <w:left w:val="single" w:color="auto" w:sz="4" w:space="0"/>
              <w:bottom w:val="single" w:color="auto" w:sz="4" w:space="0"/>
              <w:right w:val="single" w:color="auto" w:sz="4" w:space="0"/>
            </w:tcBorders>
            <w:vAlign w:val="center"/>
          </w:tcPr>
          <w:p w14:paraId="19C2151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c>
          <w:tcPr>
            <w:tcW w:w="1138" w:type="dxa"/>
            <w:tcBorders>
              <w:top w:val="single" w:color="auto" w:sz="4" w:space="0"/>
              <w:left w:val="single" w:color="auto" w:sz="4" w:space="0"/>
              <w:bottom w:val="single" w:color="auto" w:sz="4" w:space="0"/>
              <w:right w:val="single" w:color="auto" w:sz="4" w:space="0"/>
            </w:tcBorders>
            <w:vAlign w:val="center"/>
          </w:tcPr>
          <w:p w14:paraId="14DBCA3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r>
      <w:tr w14:paraId="2D35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0C2C758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总价（元）</w:t>
            </w:r>
          </w:p>
        </w:tc>
        <w:tc>
          <w:tcPr>
            <w:tcW w:w="6996" w:type="dxa"/>
            <w:gridSpan w:val="5"/>
            <w:tcBorders>
              <w:top w:val="single" w:color="auto" w:sz="4" w:space="0"/>
              <w:left w:val="single" w:color="auto" w:sz="4" w:space="0"/>
              <w:bottom w:val="single" w:color="auto" w:sz="4" w:space="0"/>
              <w:right w:val="single" w:color="auto" w:sz="4" w:space="0"/>
            </w:tcBorders>
            <w:vAlign w:val="center"/>
          </w:tcPr>
          <w:p w14:paraId="08224F3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p>
        </w:tc>
      </w:tr>
    </w:tbl>
    <w:p w14:paraId="6FFD722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附注</w:t>
      </w:r>
      <w:r>
        <w:rPr>
          <w:rFonts w:hint="eastAsia" w:ascii="宋体" w:hAnsi="宋体" w:eastAsia="宋体" w:cs="宋体"/>
          <w:color w:val="auto"/>
          <w:sz w:val="24"/>
          <w:szCs w:val="24"/>
          <w:highlight w:val="none"/>
          <w:shd w:val="clear" w:color="auto" w:fill="auto"/>
          <w:lang w:eastAsia="zh-CN"/>
        </w:rPr>
        <w:t>：</w:t>
      </w:r>
    </w:p>
    <w:p w14:paraId="0C7FC28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1、环境标志产品是指《环境标志产品政府采购品目清单》内的产品； </w:t>
      </w:r>
    </w:p>
    <w:p w14:paraId="4A03E7E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须附所报产品的有效期内的“中国环境标志产品认证证书”原件扫描件加盖公章，以及所报产品在《环境标志产品政府采购品目清单》所在行截图的扫描件，否则评委有权利不予认定；</w:t>
      </w:r>
    </w:p>
    <w:p w14:paraId="6CB2BDD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3、环境标志产品的认定依据《环境标志产品政府采购品目清单》，不在《环境标志产品政府采购品目清单》内的产品不享受政府采购价格折扣或加分； </w:t>
      </w:r>
    </w:p>
    <w:p w14:paraId="409CA6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4、采购中涉及环境标志产品时必须填写本表，否则评委有权利不予认定； </w:t>
      </w:r>
    </w:p>
    <w:p w14:paraId="5866EE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color w:val="auto"/>
          <w:sz w:val="24"/>
          <w:szCs w:val="24"/>
          <w:highlight w:val="none"/>
          <w:shd w:val="clear" w:color="auto" w:fill="auto"/>
        </w:rPr>
        <w:t>5、本表内必须全部为优先采购的环境标志产品，否则将不享受环境标志产品评审价格折扣或加分</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b w:val="0"/>
          <w:bCs/>
          <w:sz w:val="28"/>
          <w:szCs w:val="28"/>
          <w:highlight w:val="none"/>
          <w:lang w:val="en-US" w:eastAsia="zh-CN"/>
        </w:rPr>
        <w:br w:type="page"/>
      </w:r>
    </w:p>
    <w:p w14:paraId="467E064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附件：中小企业声明函（货物）</w:t>
      </w:r>
    </w:p>
    <w:p w14:paraId="5C53254F">
      <w:pPr>
        <w:keepNext w:val="0"/>
        <w:keepLines w:val="0"/>
        <w:pageBreakBefore w:val="0"/>
        <w:widowControl/>
        <w:suppressLineNumbers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本公司（联合体）郑重声明，根据《政府采购促进中小企业发展管理办法》（财库﹝2020﹞46 号）的规定，本公司（联合体）参加</w:t>
      </w:r>
      <w:r>
        <w:rPr>
          <w:rFonts w:hint="eastAsia" w:ascii="宋体" w:hAnsi="宋体" w:eastAsia="宋体" w:cs="宋体"/>
          <w:i w:val="0"/>
          <w:iCs w:val="0"/>
          <w:color w:val="auto"/>
          <w:kern w:val="0"/>
          <w:sz w:val="24"/>
          <w:szCs w:val="24"/>
          <w:u w:val="single"/>
          <w:lang w:val="en-US" w:eastAsia="zh-CN" w:bidi="ar"/>
        </w:rPr>
        <w:t>（单位名称）</w:t>
      </w:r>
      <w:r>
        <w:rPr>
          <w:rFonts w:hint="eastAsia" w:ascii="宋体" w:hAnsi="宋体" w:eastAsia="宋体" w:cs="宋体"/>
          <w:i w:val="0"/>
          <w:iCs w:val="0"/>
          <w:color w:val="auto"/>
          <w:kern w:val="0"/>
          <w:sz w:val="24"/>
          <w:szCs w:val="24"/>
          <w:lang w:val="en-US" w:eastAsia="zh-CN" w:bidi="ar"/>
        </w:rPr>
        <w:t>的</w:t>
      </w:r>
      <w:r>
        <w:rPr>
          <w:rFonts w:hint="eastAsia" w:ascii="宋体" w:hAnsi="宋体" w:eastAsia="宋体" w:cs="宋体"/>
          <w:i w:val="0"/>
          <w:iCs w:val="0"/>
          <w:color w:val="auto"/>
          <w:kern w:val="0"/>
          <w:sz w:val="24"/>
          <w:szCs w:val="24"/>
          <w:u w:val="single"/>
          <w:lang w:val="en-US" w:eastAsia="zh-CN" w:bidi="ar"/>
        </w:rPr>
        <w:t>（项目名称）</w:t>
      </w:r>
      <w:r>
        <w:rPr>
          <w:rFonts w:hint="eastAsia" w:ascii="宋体" w:hAnsi="宋体" w:eastAsia="宋体" w:cs="宋体"/>
          <w:i w:val="0"/>
          <w:iCs w:val="0"/>
          <w:color w:val="auto"/>
          <w:kern w:val="0"/>
          <w:sz w:val="24"/>
          <w:szCs w:val="24"/>
          <w:lang w:val="en-US" w:eastAsia="zh-CN" w:bidi="ar"/>
        </w:rPr>
        <w:t xml:space="preserve">采购活动，提供的货物全部由符合政策要求的中小企业制造。相关企业（含联合体中的中小企业、签订分包意向协议的中小企业）的具体情况如下： </w:t>
      </w:r>
    </w:p>
    <w:p w14:paraId="57365E2D">
      <w:pPr>
        <w:keepNext w:val="0"/>
        <w:keepLines w:val="0"/>
        <w:pageBreakBefore w:val="0"/>
        <w:widowControl/>
        <w:numPr>
          <w:ilvl w:val="0"/>
          <w:numId w:val="0"/>
        </w:numPr>
        <w:suppressLineNumbers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single"/>
          <w:lang w:val="en-US" w:eastAsia="zh-CN" w:bidi="ar"/>
        </w:rPr>
        <w:t xml:space="preserve"> （标的名称）</w:t>
      </w:r>
      <w:r>
        <w:rPr>
          <w:rFonts w:hint="eastAsia" w:ascii="宋体" w:hAnsi="宋体" w:eastAsia="宋体" w:cs="宋体"/>
          <w:i w:val="0"/>
          <w:iCs w:val="0"/>
          <w:color w:val="auto"/>
          <w:kern w:val="0"/>
          <w:sz w:val="24"/>
          <w:szCs w:val="24"/>
          <w:lang w:val="en-US" w:eastAsia="zh-CN" w:bidi="ar"/>
        </w:rPr>
        <w:t xml:space="preserve"> ，属于</w:t>
      </w:r>
      <w:r>
        <w:rPr>
          <w:rFonts w:hint="eastAsia" w:ascii="宋体" w:hAnsi="宋体" w:eastAsia="宋体" w:cs="宋体"/>
          <w:i w:val="0"/>
          <w:iCs w:val="0"/>
          <w:color w:val="auto"/>
          <w:kern w:val="0"/>
          <w:sz w:val="24"/>
          <w:szCs w:val="24"/>
          <w:u w:val="single"/>
          <w:lang w:val="en-US" w:eastAsia="zh-CN" w:bidi="ar"/>
        </w:rPr>
        <w:t xml:space="preserve">（采购文件中明确的所属行业） </w:t>
      </w:r>
      <w:r>
        <w:rPr>
          <w:rFonts w:hint="eastAsia" w:ascii="宋体" w:hAnsi="宋体" w:eastAsia="宋体" w:cs="宋体"/>
          <w:i w:val="0"/>
          <w:iCs w:val="0"/>
          <w:color w:val="auto"/>
          <w:kern w:val="0"/>
          <w:sz w:val="24"/>
          <w:szCs w:val="24"/>
          <w:lang w:val="en-US" w:eastAsia="zh-CN" w:bidi="ar"/>
        </w:rPr>
        <w:t>行业；制造商为</w:t>
      </w:r>
      <w:r>
        <w:rPr>
          <w:rFonts w:hint="eastAsia" w:ascii="宋体" w:hAnsi="宋体" w:eastAsia="宋体" w:cs="宋体"/>
          <w:i w:val="0"/>
          <w:iCs w:val="0"/>
          <w:color w:val="auto"/>
          <w:kern w:val="0"/>
          <w:sz w:val="24"/>
          <w:szCs w:val="24"/>
          <w:u w:val="single"/>
          <w:lang w:val="en-US" w:eastAsia="zh-CN" w:bidi="ar"/>
        </w:rPr>
        <w:t>（企业名称）</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 xml:space="preserve">； </w:t>
      </w:r>
    </w:p>
    <w:p w14:paraId="3D9D294D">
      <w:pPr>
        <w:keepNext w:val="0"/>
        <w:keepLines w:val="0"/>
        <w:pageBreakBefore w:val="0"/>
        <w:widowControl/>
        <w:numPr>
          <w:ilvl w:val="0"/>
          <w:numId w:val="0"/>
        </w:numPr>
        <w:suppressLineNumbers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2.</w:t>
      </w:r>
      <w:r>
        <w:rPr>
          <w:rFonts w:hint="eastAsia" w:ascii="宋体" w:hAnsi="宋体" w:eastAsia="宋体" w:cs="宋体"/>
          <w:i w:val="0"/>
          <w:iCs w:val="0"/>
          <w:color w:val="auto"/>
          <w:kern w:val="0"/>
          <w:sz w:val="24"/>
          <w:szCs w:val="24"/>
          <w:u w:val="single"/>
          <w:lang w:val="en-US" w:eastAsia="zh-CN" w:bidi="ar"/>
        </w:rPr>
        <w:t xml:space="preserve"> （标的名称）</w:t>
      </w:r>
      <w:r>
        <w:rPr>
          <w:rFonts w:hint="eastAsia" w:ascii="宋体" w:hAnsi="宋体" w:eastAsia="宋体" w:cs="宋体"/>
          <w:i w:val="0"/>
          <w:iCs w:val="0"/>
          <w:color w:val="auto"/>
          <w:kern w:val="0"/>
          <w:sz w:val="24"/>
          <w:szCs w:val="24"/>
          <w:lang w:val="en-US" w:eastAsia="zh-CN" w:bidi="ar"/>
        </w:rPr>
        <w:t xml:space="preserve"> ，属于</w:t>
      </w:r>
      <w:r>
        <w:rPr>
          <w:rFonts w:hint="eastAsia" w:ascii="宋体" w:hAnsi="宋体" w:eastAsia="宋体" w:cs="宋体"/>
          <w:i w:val="0"/>
          <w:iCs w:val="0"/>
          <w:color w:val="auto"/>
          <w:kern w:val="0"/>
          <w:sz w:val="24"/>
          <w:szCs w:val="24"/>
          <w:u w:val="single"/>
          <w:lang w:val="en-US" w:eastAsia="zh-CN" w:bidi="ar"/>
        </w:rPr>
        <w:t xml:space="preserve">（采购文件中明确的所属行业） </w:t>
      </w:r>
      <w:r>
        <w:rPr>
          <w:rFonts w:hint="eastAsia" w:ascii="宋体" w:hAnsi="宋体" w:eastAsia="宋体" w:cs="宋体"/>
          <w:i w:val="0"/>
          <w:iCs w:val="0"/>
          <w:color w:val="auto"/>
          <w:kern w:val="0"/>
          <w:sz w:val="24"/>
          <w:szCs w:val="24"/>
          <w:lang w:val="en-US" w:eastAsia="zh-CN" w:bidi="ar"/>
        </w:rPr>
        <w:t>行业；制造商为</w:t>
      </w:r>
      <w:r>
        <w:rPr>
          <w:rFonts w:hint="eastAsia" w:ascii="宋体" w:hAnsi="宋体" w:eastAsia="宋体" w:cs="宋体"/>
          <w:i w:val="0"/>
          <w:iCs w:val="0"/>
          <w:color w:val="auto"/>
          <w:kern w:val="0"/>
          <w:sz w:val="24"/>
          <w:szCs w:val="24"/>
          <w:u w:val="single"/>
          <w:lang w:val="en-US" w:eastAsia="zh-CN" w:bidi="ar"/>
        </w:rPr>
        <w:t>（企业名称）</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 xml:space="preserve">； </w:t>
      </w:r>
    </w:p>
    <w:p w14:paraId="0474F4F5">
      <w:pPr>
        <w:keepNext w:val="0"/>
        <w:keepLines w:val="0"/>
        <w:pageBreakBefore w:val="0"/>
        <w:widowControl/>
        <w:numPr>
          <w:ilvl w:val="0"/>
          <w:numId w:val="0"/>
        </w:numPr>
        <w:suppressLineNumbers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w:t>
      </w:r>
    </w:p>
    <w:p w14:paraId="2E890CEB">
      <w:pPr>
        <w:keepNext w:val="0"/>
        <w:keepLines w:val="0"/>
        <w:pageBreakBefore w:val="0"/>
        <w:widowControl/>
        <w:numPr>
          <w:ilvl w:val="0"/>
          <w:numId w:val="0"/>
        </w:numPr>
        <w:suppressLineNumbers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以上企业，不属于大企业的分支机构，不存在控股股东为大企业的情形，也不存在与大企业的负责人为同一人的情形。</w:t>
      </w:r>
    </w:p>
    <w:p w14:paraId="7BE52665">
      <w:pPr>
        <w:keepNext w:val="0"/>
        <w:keepLines w:val="0"/>
        <w:pageBreakBefore w:val="0"/>
        <w:widowControl/>
        <w:numPr>
          <w:ilvl w:val="0"/>
          <w:numId w:val="0"/>
        </w:numPr>
        <w:suppressLineNumbers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 xml:space="preserve">本企业对上述声明内容的真实性负责。如有虚假，将依法承担相应责任。 </w:t>
      </w:r>
    </w:p>
    <w:p w14:paraId="3C10E9EE">
      <w:pPr>
        <w:keepNext w:val="0"/>
        <w:keepLines w:val="0"/>
        <w:pageBreakBefore w:val="0"/>
        <w:widowControl/>
        <w:numPr>
          <w:ilvl w:val="0"/>
          <w:numId w:val="0"/>
        </w:numPr>
        <w:suppressLineNumbers w:val="0"/>
        <w:kinsoku/>
        <w:wordWrap/>
        <w:overflowPunct/>
        <w:topLinePunct w:val="0"/>
        <w:bidi w:val="0"/>
        <w:adjustRightInd/>
        <w:snapToGrid/>
        <w:spacing w:line="360" w:lineRule="auto"/>
        <w:ind w:firstLine="480" w:firstLineChars="200"/>
        <w:jc w:val="center"/>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企业名称（盖章）：</w:t>
      </w:r>
    </w:p>
    <w:p w14:paraId="6BCBAD73">
      <w:pPr>
        <w:keepNext w:val="0"/>
        <w:keepLines w:val="0"/>
        <w:pageBreakBefore w:val="0"/>
        <w:widowControl/>
        <w:numPr>
          <w:ilvl w:val="0"/>
          <w:numId w:val="0"/>
        </w:numPr>
        <w:suppressLineNumbers w:val="0"/>
        <w:kinsoku/>
        <w:wordWrap/>
        <w:overflowPunct/>
        <w:topLinePunct w:val="0"/>
        <w:bidi w:val="0"/>
        <w:adjustRightInd/>
        <w:snapToGrid/>
        <w:spacing w:line="360" w:lineRule="auto"/>
        <w:ind w:firstLine="480" w:firstLineChars="200"/>
        <w:jc w:val="center"/>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日 期：</w:t>
      </w:r>
    </w:p>
    <w:p w14:paraId="1E091981">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right="-57" w:firstLine="505"/>
        <w:jc w:val="left"/>
        <w:textAlignment w:val="auto"/>
        <w:rPr>
          <w:rFonts w:hint="eastAsia" w:ascii="宋体" w:hAnsi="宋体" w:eastAsia="宋体" w:cs="宋体"/>
          <w:b/>
          <w:bCs/>
          <w:color w:val="auto"/>
          <w:sz w:val="24"/>
          <w:szCs w:val="24"/>
          <w:u w:val="single"/>
          <w:vertAlign w:val="superscript"/>
          <w:lang w:val="en-US" w:eastAsia="zh-CN"/>
        </w:rPr>
      </w:pPr>
      <w:r>
        <w:rPr>
          <w:rFonts w:hint="eastAsia" w:ascii="宋体" w:hAnsi="宋体" w:eastAsia="宋体" w:cs="宋体"/>
          <w:b/>
          <w:bCs/>
          <w:color w:val="auto"/>
          <w:sz w:val="24"/>
          <w:szCs w:val="24"/>
          <w:u w:val="single"/>
          <w:vertAlign w:val="superscript"/>
          <w:lang w:val="en-US" w:eastAsia="zh-CN"/>
        </w:rPr>
        <w:t xml:space="preserve">                                                                </w:t>
      </w:r>
    </w:p>
    <w:p w14:paraId="39782158">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bCs/>
          <w:color w:val="auto"/>
          <w:sz w:val="24"/>
          <w:szCs w:val="24"/>
          <w:vertAlign w:val="superscript"/>
          <w:lang w:val="en-US" w:eastAsia="zh-CN"/>
        </w:rPr>
        <w:t>1</w:t>
      </w:r>
      <w:r>
        <w:rPr>
          <w:rFonts w:hint="eastAsia" w:ascii="宋体" w:hAnsi="宋体" w:eastAsia="宋体" w:cs="宋体"/>
          <w:b/>
          <w:bCs/>
          <w:color w:val="auto"/>
          <w:sz w:val="24"/>
          <w:szCs w:val="24"/>
          <w:lang w:val="en-US" w:eastAsia="zh-CN"/>
        </w:rPr>
        <w:t>从业人员、营业收入、资产总额填报上一年度数据，无上一年度数据的新成立企业可不填报。</w:t>
      </w:r>
      <w:r>
        <w:rPr>
          <w:rFonts w:hint="eastAsia" w:ascii="宋体" w:hAnsi="宋体" w:eastAsia="宋体" w:cs="宋体"/>
          <w:b w:val="0"/>
          <w:bCs/>
          <w:sz w:val="28"/>
          <w:szCs w:val="28"/>
          <w:highlight w:val="none"/>
          <w:lang w:val="en-US" w:eastAsia="zh-CN"/>
        </w:rPr>
        <w:br w:type="page"/>
      </w:r>
    </w:p>
    <w:p w14:paraId="11CBB45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附件：残疾人福利性单位声明函</w:t>
      </w:r>
    </w:p>
    <w:p w14:paraId="2EE99BEB">
      <w:pPr>
        <w:spacing w:line="588" w:lineRule="exact"/>
        <w:jc w:val="center"/>
        <w:rPr>
          <w:rFonts w:hint="eastAsia" w:ascii="宋体" w:hAnsi="宋体" w:eastAsia="宋体" w:cs="宋体"/>
          <w:b/>
          <w:spacing w:val="6"/>
          <w:sz w:val="32"/>
          <w:szCs w:val="32"/>
          <w:highlight w:val="none"/>
        </w:rPr>
      </w:pPr>
    </w:p>
    <w:p w14:paraId="0897353D">
      <w:pPr>
        <w:spacing w:line="600"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sz w:val="24"/>
          <w:szCs w:val="24"/>
          <w:highlight w:val="none"/>
        </w:rPr>
        <w:t>〔2017〕141</w:t>
      </w:r>
      <w:r>
        <w:rPr>
          <w:rFonts w:hint="eastAsia" w:ascii="宋体" w:hAnsi="宋体" w:eastAsia="宋体" w:cs="宋体"/>
          <w:spacing w:val="6"/>
          <w:sz w:val="24"/>
          <w:szCs w:val="24"/>
          <w:highlight w:val="none"/>
        </w:rPr>
        <w:t>号）的规定，本单位为符合条件的残疾人福利性单位，且本单位参加</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单位的</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7FB4B445">
      <w:pPr>
        <w:spacing w:line="600"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本单位对上述声明的真实性负责。如有虚假，将依法承担相应责任。</w:t>
      </w:r>
    </w:p>
    <w:p w14:paraId="02DA9878">
      <w:pPr>
        <w:spacing w:line="500" w:lineRule="exact"/>
        <w:ind w:firstLine="504" w:firstLineChars="200"/>
        <w:rPr>
          <w:rFonts w:hint="eastAsia" w:ascii="宋体" w:hAnsi="宋体" w:eastAsia="宋体" w:cs="宋体"/>
          <w:spacing w:val="6"/>
          <w:sz w:val="24"/>
          <w:szCs w:val="24"/>
          <w:highlight w:val="none"/>
        </w:rPr>
      </w:pPr>
    </w:p>
    <w:p w14:paraId="5085D2DA">
      <w:pPr>
        <w:spacing w:line="500" w:lineRule="exact"/>
        <w:ind w:firstLine="504" w:firstLineChars="200"/>
        <w:rPr>
          <w:rFonts w:hint="eastAsia" w:ascii="宋体" w:hAnsi="宋体" w:eastAsia="宋体" w:cs="宋体"/>
          <w:spacing w:val="6"/>
          <w:sz w:val="24"/>
          <w:szCs w:val="24"/>
          <w:highlight w:val="none"/>
        </w:rPr>
      </w:pPr>
    </w:p>
    <w:p w14:paraId="1D3EF766">
      <w:pPr>
        <w:tabs>
          <w:tab w:val="left" w:pos="4860"/>
        </w:tabs>
        <w:autoSpaceDE w:val="0"/>
        <w:autoSpaceDN w:val="0"/>
        <w:spacing w:line="588" w:lineRule="exact"/>
        <w:ind w:right="1560" w:firstLine="504"/>
        <w:jc w:val="center"/>
        <w:rPr>
          <w:rFonts w:hint="eastAsia" w:ascii="宋体" w:hAnsi="宋体" w:eastAsia="宋体" w:cs="宋体"/>
          <w:sz w:val="24"/>
          <w:szCs w:val="24"/>
          <w:highlight w:val="none"/>
          <w:lang w:val="zh-CN"/>
        </w:rPr>
      </w:pPr>
      <w:r>
        <w:rPr>
          <w:rFonts w:hint="eastAsia" w:ascii="宋体" w:hAnsi="宋体" w:eastAsia="宋体" w:cs="宋体"/>
          <w:spacing w:val="6"/>
          <w:sz w:val="24"/>
          <w:szCs w:val="24"/>
          <w:highlight w:val="none"/>
        </w:rPr>
        <w:t xml:space="preserve">                 </w:t>
      </w:r>
      <w:r>
        <w:rPr>
          <w:rFonts w:hint="eastAsia" w:ascii="宋体" w:hAnsi="宋体" w:eastAsia="宋体" w:cs="宋体"/>
          <w:sz w:val="24"/>
          <w:szCs w:val="24"/>
          <w:highlight w:val="none"/>
          <w:lang w:val="zh-CN"/>
        </w:rPr>
        <w:t xml:space="preserve">企业名称（公章）： </w:t>
      </w:r>
    </w:p>
    <w:p w14:paraId="12AE2B41">
      <w:pPr>
        <w:tabs>
          <w:tab w:val="left" w:pos="4860"/>
        </w:tabs>
        <w:autoSpaceDE w:val="0"/>
        <w:autoSpaceDN w:val="0"/>
        <w:spacing w:line="588" w:lineRule="exact"/>
        <w:ind w:right="1560" w:firstLine="504"/>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 xml:space="preserve">日期：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日</w:t>
      </w:r>
    </w:p>
    <w:p w14:paraId="3E5735DD">
      <w:pPr>
        <w:jc w:val="center"/>
        <w:rPr>
          <w:rFonts w:hint="eastAsia" w:ascii="宋体" w:hAnsi="宋体" w:eastAsia="宋体" w:cs="宋体"/>
          <w:b/>
          <w:sz w:val="30"/>
          <w:szCs w:val="30"/>
          <w:highlight w:val="none"/>
          <w:lang w:val="en-US" w:eastAsia="zh-CN"/>
        </w:rPr>
      </w:pPr>
    </w:p>
    <w:p w14:paraId="1A41635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en-US" w:eastAsia="zh-CN"/>
        </w:rPr>
      </w:pPr>
    </w:p>
    <w:p w14:paraId="7538E78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附件：监狱企业的证明文件</w:t>
      </w:r>
    </w:p>
    <w:p w14:paraId="44E0283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zh-CN" w:eastAsia="zh-CN"/>
        </w:rPr>
      </w:pPr>
      <w:r>
        <w:rPr>
          <w:rFonts w:hint="eastAsia" w:ascii="宋体" w:hAnsi="宋体" w:eastAsia="宋体" w:cs="宋体"/>
          <w:b/>
          <w:sz w:val="28"/>
          <w:szCs w:val="28"/>
          <w:highlight w:val="none"/>
          <w:lang w:val="en-US" w:eastAsia="zh-CN"/>
        </w:rPr>
        <w:t>（原件的彩色扫描件）</w:t>
      </w:r>
      <w:r>
        <w:rPr>
          <w:rFonts w:hint="eastAsia" w:ascii="宋体" w:hAnsi="宋体" w:eastAsia="宋体" w:cs="宋体"/>
          <w:b/>
          <w:sz w:val="28"/>
          <w:szCs w:val="28"/>
          <w:highlight w:val="none"/>
          <w:lang w:val="zh-CN" w:eastAsia="zh-CN"/>
        </w:rPr>
        <w:br w:type="page"/>
      </w:r>
    </w:p>
    <w:p w14:paraId="1805B53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zh-CN" w:eastAsia="zh-CN"/>
        </w:rPr>
      </w:pPr>
      <w:r>
        <w:rPr>
          <w:rFonts w:hint="eastAsia" w:ascii="宋体" w:hAnsi="宋体" w:eastAsia="宋体" w:cs="宋体"/>
          <w:b/>
          <w:sz w:val="28"/>
          <w:szCs w:val="28"/>
          <w:highlight w:val="none"/>
          <w:lang w:val="zh-CN" w:eastAsia="zh-CN"/>
        </w:rPr>
        <w:t>技术标</w:t>
      </w:r>
    </w:p>
    <w:p w14:paraId="7C5E8380">
      <w:pPr>
        <w:pStyle w:val="59"/>
        <w:spacing w:line="360" w:lineRule="auto"/>
        <w:jc w:val="center"/>
        <w:rPr>
          <w:rFonts w:hint="eastAsia" w:ascii="宋体" w:hAnsi="宋体" w:eastAsia="宋体" w:cs="宋体"/>
          <w:highlight w:val="none"/>
        </w:rPr>
      </w:pPr>
      <w:r>
        <w:rPr>
          <w:rFonts w:hint="eastAsia" w:ascii="宋体" w:hAnsi="宋体" w:eastAsia="宋体" w:cs="宋体"/>
          <w:b/>
          <w:color w:val="auto"/>
          <w:highlight w:val="none"/>
        </w:rPr>
        <w:t>（投标人应根据评分标准评分点自行编制）</w:t>
      </w:r>
    </w:p>
    <w:p w14:paraId="6FC0A1AE">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6E6A4D0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附件：供应商资格审查统计表</w:t>
      </w:r>
    </w:p>
    <w:p w14:paraId="65A42862">
      <w:pPr>
        <w:tabs>
          <w:tab w:val="left" w:pos="3135"/>
          <w:tab w:val="center" w:pos="7392"/>
        </w:tabs>
        <w:spacing w:line="360" w:lineRule="auto"/>
        <w:jc w:val="left"/>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供应商名称（加盖公章）： </w:t>
      </w:r>
    </w:p>
    <w:tbl>
      <w:tblPr>
        <w:tblStyle w:val="27"/>
        <w:tblW w:w="10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296"/>
        <w:gridCol w:w="5381"/>
        <w:gridCol w:w="1547"/>
        <w:gridCol w:w="942"/>
      </w:tblGrid>
      <w:tr w14:paraId="1140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92" w:type="dxa"/>
            <w:vAlign w:val="center"/>
          </w:tcPr>
          <w:p w14:paraId="00393F42">
            <w:pPr>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6677" w:type="dxa"/>
            <w:gridSpan w:val="2"/>
            <w:vAlign w:val="center"/>
          </w:tcPr>
          <w:p w14:paraId="0FACDB9D">
            <w:pPr>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名称</w:t>
            </w:r>
          </w:p>
        </w:tc>
        <w:tc>
          <w:tcPr>
            <w:tcW w:w="1547" w:type="dxa"/>
            <w:vAlign w:val="center"/>
          </w:tcPr>
          <w:p w14:paraId="6C3222A2">
            <w:pPr>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内容</w:t>
            </w:r>
          </w:p>
        </w:tc>
        <w:tc>
          <w:tcPr>
            <w:tcW w:w="942" w:type="dxa"/>
            <w:vAlign w:val="center"/>
          </w:tcPr>
          <w:p w14:paraId="6C8B267F">
            <w:pPr>
              <w:ind w:right="-25" w:rightChars="-12"/>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检验结果</w:t>
            </w:r>
          </w:p>
        </w:tc>
      </w:tr>
      <w:tr w14:paraId="197A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Align w:val="center"/>
          </w:tcPr>
          <w:p w14:paraId="18911864">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6677" w:type="dxa"/>
            <w:gridSpan w:val="2"/>
            <w:vAlign w:val="center"/>
          </w:tcPr>
          <w:p w14:paraId="4B2486E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1547" w:type="dxa"/>
            <w:vAlign w:val="center"/>
          </w:tcPr>
          <w:p w14:paraId="48A00BF4">
            <w:pPr>
              <w:jc w:val="left"/>
              <w:rPr>
                <w:rFonts w:ascii="宋体" w:hAnsi="宋体" w:eastAsia="宋体" w:cs="宋体"/>
                <w:color w:val="auto"/>
                <w:sz w:val="24"/>
                <w:highlight w:val="none"/>
              </w:rPr>
            </w:pPr>
            <w:r>
              <w:rPr>
                <w:rFonts w:hint="eastAsia" w:ascii="宋体" w:hAnsi="宋体" w:eastAsia="宋体" w:cs="宋体"/>
                <w:color w:val="auto"/>
                <w:sz w:val="24"/>
                <w:highlight w:val="none"/>
              </w:rPr>
              <w:t>是否提供：</w:t>
            </w:r>
          </w:p>
        </w:tc>
        <w:tc>
          <w:tcPr>
            <w:tcW w:w="942" w:type="dxa"/>
            <w:vAlign w:val="center"/>
          </w:tcPr>
          <w:p w14:paraId="49336E65">
            <w:pPr>
              <w:jc w:val="center"/>
              <w:rPr>
                <w:rFonts w:ascii="宋体" w:hAnsi="宋体" w:eastAsia="宋体" w:cs="宋体"/>
                <w:color w:val="auto"/>
                <w:sz w:val="24"/>
                <w:highlight w:val="none"/>
              </w:rPr>
            </w:pPr>
          </w:p>
        </w:tc>
      </w:tr>
      <w:tr w14:paraId="4A8F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Align w:val="center"/>
          </w:tcPr>
          <w:p w14:paraId="3C59988F">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6677" w:type="dxa"/>
            <w:gridSpan w:val="2"/>
            <w:vAlign w:val="center"/>
          </w:tcPr>
          <w:p w14:paraId="085671F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2024年度的财务状况报告</w:t>
            </w:r>
          </w:p>
        </w:tc>
        <w:tc>
          <w:tcPr>
            <w:tcW w:w="1547" w:type="dxa"/>
            <w:vAlign w:val="center"/>
          </w:tcPr>
          <w:p w14:paraId="6E6581B1">
            <w:pPr>
              <w:jc w:val="left"/>
              <w:rPr>
                <w:rFonts w:ascii="宋体" w:hAnsi="宋体" w:eastAsia="宋体" w:cs="宋体"/>
                <w:color w:val="auto"/>
                <w:sz w:val="24"/>
                <w:highlight w:val="none"/>
              </w:rPr>
            </w:pPr>
            <w:r>
              <w:rPr>
                <w:rFonts w:hint="eastAsia" w:ascii="宋体" w:hAnsi="宋体" w:eastAsia="宋体" w:cs="宋体"/>
                <w:color w:val="auto"/>
                <w:sz w:val="24"/>
                <w:highlight w:val="none"/>
              </w:rPr>
              <w:t>是否提供：</w:t>
            </w:r>
          </w:p>
        </w:tc>
        <w:tc>
          <w:tcPr>
            <w:tcW w:w="942" w:type="dxa"/>
            <w:vAlign w:val="center"/>
          </w:tcPr>
          <w:p w14:paraId="2648B3C5">
            <w:pPr>
              <w:jc w:val="center"/>
              <w:rPr>
                <w:rFonts w:ascii="宋体" w:hAnsi="宋体" w:eastAsia="宋体" w:cs="宋体"/>
                <w:color w:val="auto"/>
                <w:sz w:val="24"/>
                <w:highlight w:val="none"/>
              </w:rPr>
            </w:pPr>
          </w:p>
        </w:tc>
      </w:tr>
      <w:tr w14:paraId="61B4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Align w:val="center"/>
          </w:tcPr>
          <w:p w14:paraId="225937EC">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6677" w:type="dxa"/>
            <w:gridSpan w:val="2"/>
            <w:shd w:val="clear" w:color="auto" w:fill="auto"/>
            <w:vAlign w:val="center"/>
          </w:tcPr>
          <w:p w14:paraId="34621C37">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近半年内不少于一个月依法缴纳税收的证明</w:t>
            </w:r>
          </w:p>
        </w:tc>
        <w:tc>
          <w:tcPr>
            <w:tcW w:w="1547" w:type="dxa"/>
            <w:vAlign w:val="center"/>
          </w:tcPr>
          <w:p w14:paraId="5F1606E6">
            <w:pPr>
              <w:jc w:val="left"/>
              <w:rPr>
                <w:rFonts w:ascii="宋体" w:hAnsi="宋体" w:eastAsia="宋体" w:cs="宋体"/>
                <w:color w:val="auto"/>
                <w:sz w:val="24"/>
                <w:highlight w:val="none"/>
              </w:rPr>
            </w:pPr>
            <w:r>
              <w:rPr>
                <w:rFonts w:hint="eastAsia" w:ascii="宋体" w:hAnsi="宋体" w:eastAsia="宋体" w:cs="宋体"/>
                <w:color w:val="auto"/>
                <w:sz w:val="24"/>
                <w:highlight w:val="none"/>
              </w:rPr>
              <w:t>是否提供：</w:t>
            </w:r>
          </w:p>
        </w:tc>
        <w:tc>
          <w:tcPr>
            <w:tcW w:w="942" w:type="dxa"/>
            <w:vAlign w:val="center"/>
          </w:tcPr>
          <w:p w14:paraId="4A679BBF">
            <w:pPr>
              <w:jc w:val="center"/>
              <w:rPr>
                <w:rFonts w:ascii="宋体" w:hAnsi="宋体" w:eastAsia="宋体" w:cs="宋体"/>
                <w:color w:val="auto"/>
                <w:sz w:val="24"/>
                <w:highlight w:val="none"/>
              </w:rPr>
            </w:pPr>
          </w:p>
        </w:tc>
      </w:tr>
      <w:tr w14:paraId="4278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Align w:val="center"/>
          </w:tcPr>
          <w:p w14:paraId="06F2215B">
            <w:pPr>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6677" w:type="dxa"/>
            <w:gridSpan w:val="2"/>
            <w:shd w:val="clear" w:color="auto" w:fill="auto"/>
            <w:vAlign w:val="center"/>
          </w:tcPr>
          <w:p w14:paraId="7935DF86">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近半年内不少于一个月依法缴纳社会保障资金的证明</w:t>
            </w:r>
          </w:p>
        </w:tc>
        <w:tc>
          <w:tcPr>
            <w:tcW w:w="1547" w:type="dxa"/>
            <w:vAlign w:val="center"/>
          </w:tcPr>
          <w:p w14:paraId="0AE247D6">
            <w:pPr>
              <w:jc w:val="left"/>
              <w:rPr>
                <w:rFonts w:ascii="宋体" w:hAnsi="宋体" w:eastAsia="宋体" w:cs="宋体"/>
                <w:color w:val="auto"/>
                <w:sz w:val="24"/>
                <w:highlight w:val="none"/>
              </w:rPr>
            </w:pPr>
            <w:r>
              <w:rPr>
                <w:rFonts w:hint="eastAsia" w:ascii="宋体" w:hAnsi="宋体" w:eastAsia="宋体" w:cs="宋体"/>
                <w:color w:val="auto"/>
                <w:sz w:val="24"/>
                <w:highlight w:val="none"/>
              </w:rPr>
              <w:t>是否提供：</w:t>
            </w:r>
          </w:p>
        </w:tc>
        <w:tc>
          <w:tcPr>
            <w:tcW w:w="942" w:type="dxa"/>
            <w:vAlign w:val="center"/>
          </w:tcPr>
          <w:p w14:paraId="49172FC7">
            <w:pPr>
              <w:jc w:val="center"/>
              <w:rPr>
                <w:rFonts w:ascii="宋体" w:hAnsi="宋体" w:eastAsia="宋体" w:cs="宋体"/>
                <w:color w:val="auto"/>
                <w:sz w:val="24"/>
                <w:highlight w:val="none"/>
              </w:rPr>
            </w:pPr>
          </w:p>
        </w:tc>
      </w:tr>
      <w:tr w14:paraId="127E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Align w:val="center"/>
          </w:tcPr>
          <w:p w14:paraId="62101637">
            <w:pPr>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6677" w:type="dxa"/>
            <w:gridSpan w:val="2"/>
            <w:shd w:val="clear" w:color="auto" w:fill="auto"/>
            <w:vAlign w:val="center"/>
          </w:tcPr>
          <w:p w14:paraId="21C0F40C">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法定代表人的授权委托书及授权代表的身份证扫描件；若法定代表人参加，仅提供法定代表人身份证明及身份证扫描件</w:t>
            </w:r>
          </w:p>
        </w:tc>
        <w:tc>
          <w:tcPr>
            <w:tcW w:w="1547" w:type="dxa"/>
            <w:vAlign w:val="center"/>
          </w:tcPr>
          <w:p w14:paraId="0FB7D19A">
            <w:pPr>
              <w:jc w:val="left"/>
              <w:rPr>
                <w:rFonts w:ascii="宋体" w:hAnsi="宋体" w:eastAsia="宋体" w:cs="宋体"/>
                <w:color w:val="auto"/>
                <w:sz w:val="24"/>
                <w:highlight w:val="none"/>
              </w:rPr>
            </w:pPr>
            <w:r>
              <w:rPr>
                <w:rFonts w:hint="eastAsia" w:ascii="宋体" w:hAnsi="宋体" w:eastAsia="宋体" w:cs="宋体"/>
                <w:color w:val="auto"/>
                <w:sz w:val="24"/>
                <w:highlight w:val="none"/>
              </w:rPr>
              <w:t>是否提供：</w:t>
            </w:r>
          </w:p>
        </w:tc>
        <w:tc>
          <w:tcPr>
            <w:tcW w:w="942" w:type="dxa"/>
            <w:vAlign w:val="center"/>
          </w:tcPr>
          <w:p w14:paraId="6C914CFF">
            <w:pPr>
              <w:jc w:val="center"/>
              <w:rPr>
                <w:rFonts w:ascii="宋体" w:hAnsi="宋体" w:eastAsia="宋体" w:cs="宋体"/>
                <w:color w:val="auto"/>
                <w:sz w:val="24"/>
                <w:highlight w:val="none"/>
              </w:rPr>
            </w:pPr>
          </w:p>
        </w:tc>
      </w:tr>
      <w:tr w14:paraId="0ECA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Align w:val="center"/>
          </w:tcPr>
          <w:p w14:paraId="1EA3927C">
            <w:pPr>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6677" w:type="dxa"/>
            <w:gridSpan w:val="2"/>
            <w:shd w:val="clear" w:color="auto" w:fill="auto"/>
            <w:vAlign w:val="center"/>
          </w:tcPr>
          <w:p w14:paraId="6FB89A3F">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参加政府采购活动前3年内在经营活动中没有重大违法记录的书面声明</w:t>
            </w:r>
          </w:p>
        </w:tc>
        <w:tc>
          <w:tcPr>
            <w:tcW w:w="1547" w:type="dxa"/>
            <w:vAlign w:val="center"/>
          </w:tcPr>
          <w:p w14:paraId="4B240EFC">
            <w:pPr>
              <w:jc w:val="left"/>
              <w:rPr>
                <w:rFonts w:ascii="宋体" w:hAnsi="宋体" w:eastAsia="宋体" w:cs="宋体"/>
                <w:color w:val="auto"/>
                <w:sz w:val="24"/>
                <w:highlight w:val="none"/>
              </w:rPr>
            </w:pPr>
            <w:r>
              <w:rPr>
                <w:rFonts w:hint="eastAsia" w:ascii="宋体" w:hAnsi="宋体" w:eastAsia="宋体" w:cs="宋体"/>
                <w:color w:val="auto"/>
                <w:sz w:val="24"/>
                <w:highlight w:val="none"/>
              </w:rPr>
              <w:t>是否提供：</w:t>
            </w:r>
          </w:p>
        </w:tc>
        <w:tc>
          <w:tcPr>
            <w:tcW w:w="942" w:type="dxa"/>
            <w:vAlign w:val="center"/>
          </w:tcPr>
          <w:p w14:paraId="45B45185">
            <w:pPr>
              <w:jc w:val="center"/>
              <w:rPr>
                <w:rFonts w:ascii="宋体" w:hAnsi="宋体" w:eastAsia="宋体" w:cs="宋体"/>
                <w:color w:val="auto"/>
                <w:sz w:val="24"/>
                <w:highlight w:val="none"/>
              </w:rPr>
            </w:pPr>
          </w:p>
        </w:tc>
      </w:tr>
      <w:tr w14:paraId="4BF2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Align w:val="center"/>
          </w:tcPr>
          <w:p w14:paraId="3084B5E6">
            <w:pPr>
              <w:jc w:val="center"/>
              <w:rPr>
                <w:rFonts w:ascii="宋体" w:hAnsi="宋体" w:eastAsia="宋体" w:cs="宋体"/>
                <w:color w:val="auto"/>
                <w:sz w:val="24"/>
                <w:highlight w:val="none"/>
              </w:rPr>
            </w:pPr>
            <w:r>
              <w:rPr>
                <w:rFonts w:hint="eastAsia" w:ascii="宋体" w:hAnsi="宋体" w:eastAsia="宋体" w:cs="宋体"/>
                <w:color w:val="auto"/>
                <w:sz w:val="24"/>
                <w:highlight w:val="none"/>
              </w:rPr>
              <w:t>7</w:t>
            </w:r>
          </w:p>
        </w:tc>
        <w:tc>
          <w:tcPr>
            <w:tcW w:w="6677" w:type="dxa"/>
            <w:gridSpan w:val="2"/>
            <w:shd w:val="clear" w:color="auto" w:fill="auto"/>
            <w:vAlign w:val="center"/>
          </w:tcPr>
          <w:p w14:paraId="22FD983C">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具备履行合同所必需的专业技术能力的证明材料</w:t>
            </w:r>
          </w:p>
        </w:tc>
        <w:tc>
          <w:tcPr>
            <w:tcW w:w="1547" w:type="dxa"/>
            <w:vAlign w:val="center"/>
          </w:tcPr>
          <w:p w14:paraId="36AB4B26">
            <w:pPr>
              <w:jc w:val="left"/>
              <w:rPr>
                <w:rFonts w:ascii="宋体" w:hAnsi="宋体" w:eastAsia="宋体" w:cs="宋体"/>
                <w:color w:val="auto"/>
                <w:sz w:val="24"/>
                <w:highlight w:val="none"/>
              </w:rPr>
            </w:pPr>
            <w:r>
              <w:rPr>
                <w:rFonts w:hint="eastAsia" w:ascii="宋体" w:hAnsi="宋体" w:eastAsia="宋体" w:cs="宋体"/>
                <w:color w:val="auto"/>
                <w:sz w:val="24"/>
                <w:highlight w:val="none"/>
              </w:rPr>
              <w:t>是否提供：</w:t>
            </w:r>
          </w:p>
        </w:tc>
        <w:tc>
          <w:tcPr>
            <w:tcW w:w="942" w:type="dxa"/>
            <w:vAlign w:val="center"/>
          </w:tcPr>
          <w:p w14:paraId="73AF9FE8">
            <w:pPr>
              <w:jc w:val="center"/>
              <w:rPr>
                <w:rFonts w:ascii="宋体" w:hAnsi="宋体" w:eastAsia="宋体" w:cs="宋体"/>
                <w:color w:val="auto"/>
                <w:sz w:val="24"/>
                <w:highlight w:val="none"/>
              </w:rPr>
            </w:pPr>
          </w:p>
        </w:tc>
      </w:tr>
      <w:tr w14:paraId="5D38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69" w:type="dxa"/>
            <w:gridSpan w:val="3"/>
            <w:vAlign w:val="center"/>
          </w:tcPr>
          <w:p w14:paraId="7A4DE297">
            <w:pPr>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是否审查合格</w:t>
            </w:r>
          </w:p>
        </w:tc>
        <w:tc>
          <w:tcPr>
            <w:tcW w:w="2489" w:type="dxa"/>
            <w:gridSpan w:val="2"/>
            <w:vAlign w:val="center"/>
          </w:tcPr>
          <w:p w14:paraId="6EDCF722">
            <w:pPr>
              <w:jc w:val="center"/>
              <w:rPr>
                <w:rFonts w:ascii="宋体" w:hAnsi="宋体" w:eastAsia="宋体" w:cs="宋体"/>
                <w:b/>
                <w:bCs/>
                <w:color w:val="auto"/>
                <w:sz w:val="24"/>
                <w:highlight w:val="none"/>
              </w:rPr>
            </w:pPr>
          </w:p>
        </w:tc>
      </w:tr>
      <w:tr w14:paraId="2963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188" w:type="dxa"/>
            <w:gridSpan w:val="2"/>
            <w:vAlign w:val="center"/>
          </w:tcPr>
          <w:p w14:paraId="3819ADC1">
            <w:pPr>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对核验结果有关人员签字</w:t>
            </w:r>
          </w:p>
        </w:tc>
        <w:tc>
          <w:tcPr>
            <w:tcW w:w="7870" w:type="dxa"/>
            <w:gridSpan w:val="3"/>
            <w:vAlign w:val="center"/>
          </w:tcPr>
          <w:p w14:paraId="1BEC0820">
            <w:pPr>
              <w:rPr>
                <w:rFonts w:ascii="宋体" w:hAnsi="宋体" w:eastAsia="宋体" w:cs="宋体"/>
                <w:b/>
                <w:bCs/>
                <w:color w:val="auto"/>
                <w:sz w:val="24"/>
                <w:highlight w:val="none"/>
              </w:rPr>
            </w:pPr>
          </w:p>
          <w:p w14:paraId="099124F5">
            <w:pPr>
              <w:rPr>
                <w:rFonts w:ascii="宋体" w:hAnsi="宋体" w:eastAsia="宋体" w:cs="宋体"/>
                <w:b/>
                <w:bCs/>
                <w:color w:val="auto"/>
                <w:sz w:val="24"/>
                <w:highlight w:val="none"/>
              </w:rPr>
            </w:pPr>
            <w:r>
              <w:rPr>
                <w:rFonts w:hint="eastAsia" w:ascii="宋体" w:hAnsi="宋体" w:eastAsia="宋体" w:cs="宋体"/>
                <w:b/>
                <w:bCs/>
                <w:color w:val="auto"/>
                <w:sz w:val="24"/>
                <w:highlight w:val="none"/>
              </w:rPr>
              <w:t>核验人签字：</w:t>
            </w:r>
          </w:p>
          <w:p w14:paraId="60675532">
            <w:pPr>
              <w:rPr>
                <w:rFonts w:ascii="宋体" w:hAnsi="宋体" w:eastAsia="宋体" w:cs="宋体"/>
                <w:b/>
                <w:bCs/>
                <w:color w:val="auto"/>
                <w:sz w:val="24"/>
                <w:highlight w:val="none"/>
              </w:rPr>
            </w:pPr>
          </w:p>
          <w:p w14:paraId="41717A35">
            <w:pPr>
              <w:rPr>
                <w:rFonts w:ascii="宋体" w:hAnsi="宋体" w:eastAsia="宋体" w:cs="宋体"/>
                <w:b/>
                <w:bCs/>
                <w:color w:val="auto"/>
                <w:sz w:val="24"/>
                <w:highlight w:val="none"/>
              </w:rPr>
            </w:pPr>
          </w:p>
          <w:p w14:paraId="1C9EC049">
            <w:pPr>
              <w:pStyle w:val="62"/>
              <w:ind w:left="0" w:leftChars="0" w:firstLine="0" w:firstLineChars="0"/>
              <w:rPr>
                <w:rFonts w:ascii="宋体" w:hAnsi="宋体" w:eastAsia="宋体" w:cs="宋体"/>
                <w:b/>
                <w:bCs/>
                <w:color w:val="auto"/>
                <w:sz w:val="24"/>
                <w:highlight w:val="none"/>
              </w:rPr>
            </w:pPr>
          </w:p>
        </w:tc>
      </w:tr>
    </w:tbl>
    <w:p w14:paraId="075D36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注：（1）本表应于响应文件递交截止时间前单独提供至采购代理机构。（2）本表如与资格审查不一致，以资格审查为准。</w:t>
      </w:r>
    </w:p>
    <w:p w14:paraId="34FA7603">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45D04D4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附件：供应商有关证件得分统计表</w:t>
      </w:r>
    </w:p>
    <w:p w14:paraId="1367393D">
      <w:pPr>
        <w:tabs>
          <w:tab w:val="left" w:pos="3135"/>
          <w:tab w:val="center" w:pos="7392"/>
        </w:tabs>
        <w:spacing w:line="360" w:lineRule="auto"/>
        <w:jc w:val="left"/>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供应商名称（加盖公章）：           </w:t>
      </w:r>
    </w:p>
    <w:tbl>
      <w:tblPr>
        <w:tblStyle w:val="2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013"/>
        <w:gridCol w:w="3198"/>
        <w:gridCol w:w="1447"/>
        <w:gridCol w:w="1716"/>
        <w:gridCol w:w="1083"/>
      </w:tblGrid>
      <w:tr w14:paraId="3DD3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6"/>
            <w:vAlign w:val="center"/>
          </w:tcPr>
          <w:p w14:paraId="7A14B3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供应商自2023年1月1日以来的类似业绩，每提供一个业绩得2分，最高得6分。</w:t>
            </w:r>
          </w:p>
          <w:p w14:paraId="268346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注：业绩以供应商响应文件中所列业绩为准，响应文件中需同时提供合同和中标（成交）通知书复印件加盖公章，二者缺一不可，时间以合同签订时间为准，否则不予计分，不提供的或提供不全的不予得分。</w:t>
            </w:r>
          </w:p>
        </w:tc>
      </w:tr>
      <w:tr w14:paraId="586D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685031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eastAsia="zh-CN"/>
              </w:rPr>
              <w:t>序号</w:t>
            </w:r>
          </w:p>
        </w:tc>
        <w:tc>
          <w:tcPr>
            <w:tcW w:w="4211" w:type="dxa"/>
            <w:gridSpan w:val="2"/>
            <w:vAlign w:val="center"/>
          </w:tcPr>
          <w:p w14:paraId="7D77AA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eastAsia="zh-CN"/>
              </w:rPr>
              <w:t>项目名称</w:t>
            </w:r>
          </w:p>
        </w:tc>
        <w:tc>
          <w:tcPr>
            <w:tcW w:w="1447" w:type="dxa"/>
            <w:vAlign w:val="center"/>
          </w:tcPr>
          <w:p w14:paraId="6FFF1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eastAsia="zh-CN"/>
              </w:rPr>
              <w:t>合同签订时间</w:t>
            </w:r>
          </w:p>
        </w:tc>
        <w:tc>
          <w:tcPr>
            <w:tcW w:w="1716" w:type="dxa"/>
            <w:vAlign w:val="center"/>
          </w:tcPr>
          <w:p w14:paraId="178857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eastAsia="zh-CN"/>
              </w:rPr>
              <w:t>提供材料是否符合文件要求</w:t>
            </w:r>
          </w:p>
        </w:tc>
        <w:tc>
          <w:tcPr>
            <w:tcW w:w="1083" w:type="dxa"/>
            <w:vAlign w:val="center"/>
          </w:tcPr>
          <w:p w14:paraId="6D59C0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vertAlign w:val="baseline"/>
                <w:lang w:eastAsia="zh-CN"/>
              </w:rPr>
              <w:t>得分</w:t>
            </w:r>
          </w:p>
        </w:tc>
      </w:tr>
      <w:tr w14:paraId="1FA0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28B3E3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4211" w:type="dxa"/>
            <w:gridSpan w:val="2"/>
            <w:vAlign w:val="center"/>
          </w:tcPr>
          <w:p w14:paraId="5C7517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p>
        </w:tc>
        <w:tc>
          <w:tcPr>
            <w:tcW w:w="1447" w:type="dxa"/>
            <w:vAlign w:val="center"/>
          </w:tcPr>
          <w:p w14:paraId="468662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p>
        </w:tc>
        <w:tc>
          <w:tcPr>
            <w:tcW w:w="1716" w:type="dxa"/>
            <w:vAlign w:val="center"/>
          </w:tcPr>
          <w:p w14:paraId="5F88F8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p>
        </w:tc>
        <w:tc>
          <w:tcPr>
            <w:tcW w:w="1083" w:type="dxa"/>
            <w:vAlign w:val="center"/>
          </w:tcPr>
          <w:p w14:paraId="2D83C6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p>
        </w:tc>
      </w:tr>
      <w:tr w14:paraId="735B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1586F1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4211" w:type="dxa"/>
            <w:gridSpan w:val="2"/>
            <w:vAlign w:val="center"/>
          </w:tcPr>
          <w:p w14:paraId="3A307A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p>
        </w:tc>
        <w:tc>
          <w:tcPr>
            <w:tcW w:w="1447" w:type="dxa"/>
            <w:vAlign w:val="center"/>
          </w:tcPr>
          <w:p w14:paraId="02E4B9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p>
        </w:tc>
        <w:tc>
          <w:tcPr>
            <w:tcW w:w="1716" w:type="dxa"/>
            <w:vAlign w:val="center"/>
          </w:tcPr>
          <w:p w14:paraId="7C12BC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p>
        </w:tc>
        <w:tc>
          <w:tcPr>
            <w:tcW w:w="1083" w:type="dxa"/>
            <w:vAlign w:val="center"/>
          </w:tcPr>
          <w:p w14:paraId="770743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p>
        </w:tc>
      </w:tr>
      <w:tr w14:paraId="0525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116FFD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4211" w:type="dxa"/>
            <w:gridSpan w:val="2"/>
            <w:vAlign w:val="center"/>
          </w:tcPr>
          <w:p w14:paraId="4338A5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p>
        </w:tc>
        <w:tc>
          <w:tcPr>
            <w:tcW w:w="1447" w:type="dxa"/>
            <w:vAlign w:val="center"/>
          </w:tcPr>
          <w:p w14:paraId="7AEC1A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p>
        </w:tc>
        <w:tc>
          <w:tcPr>
            <w:tcW w:w="1716" w:type="dxa"/>
            <w:vAlign w:val="center"/>
          </w:tcPr>
          <w:p w14:paraId="0021E0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p>
        </w:tc>
        <w:tc>
          <w:tcPr>
            <w:tcW w:w="1083" w:type="dxa"/>
            <w:vAlign w:val="center"/>
          </w:tcPr>
          <w:p w14:paraId="4A8B10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p>
        </w:tc>
      </w:tr>
      <w:tr w14:paraId="1E72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007816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w:t>
            </w:r>
          </w:p>
        </w:tc>
        <w:tc>
          <w:tcPr>
            <w:tcW w:w="4211" w:type="dxa"/>
            <w:gridSpan w:val="2"/>
            <w:vAlign w:val="center"/>
          </w:tcPr>
          <w:p w14:paraId="7C6168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p>
        </w:tc>
        <w:tc>
          <w:tcPr>
            <w:tcW w:w="1447" w:type="dxa"/>
            <w:vAlign w:val="center"/>
          </w:tcPr>
          <w:p w14:paraId="4A84E3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p>
        </w:tc>
        <w:tc>
          <w:tcPr>
            <w:tcW w:w="1716" w:type="dxa"/>
            <w:vAlign w:val="center"/>
          </w:tcPr>
          <w:p w14:paraId="78DC29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p>
        </w:tc>
        <w:tc>
          <w:tcPr>
            <w:tcW w:w="1083" w:type="dxa"/>
            <w:vAlign w:val="center"/>
          </w:tcPr>
          <w:p w14:paraId="4D3CE2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p>
        </w:tc>
      </w:tr>
      <w:tr w14:paraId="3BA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05" w:type="dxa"/>
            <w:gridSpan w:val="5"/>
            <w:vAlign w:val="center"/>
          </w:tcPr>
          <w:p w14:paraId="3AE302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合计得分</w:t>
            </w:r>
          </w:p>
        </w:tc>
        <w:tc>
          <w:tcPr>
            <w:tcW w:w="1083" w:type="dxa"/>
            <w:vAlign w:val="center"/>
          </w:tcPr>
          <w:p w14:paraId="2C5961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vertAlign w:val="baseline"/>
              </w:rPr>
            </w:pPr>
          </w:p>
        </w:tc>
      </w:tr>
      <w:tr w14:paraId="618E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Align w:val="center"/>
          </w:tcPr>
          <w:p w14:paraId="24951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bCs/>
                <w:color w:val="auto"/>
                <w:sz w:val="24"/>
                <w:szCs w:val="24"/>
                <w:highlight w:val="none"/>
              </w:rPr>
              <w:t>对核验结果有关人员签字</w:t>
            </w:r>
          </w:p>
        </w:tc>
        <w:tc>
          <w:tcPr>
            <w:tcW w:w="7444" w:type="dxa"/>
            <w:gridSpan w:val="4"/>
            <w:vAlign w:val="center"/>
          </w:tcPr>
          <w:p w14:paraId="20A09D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p>
          <w:p w14:paraId="62C436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核验人签字</w:t>
            </w:r>
            <w:r>
              <w:rPr>
                <w:rFonts w:hint="eastAsia" w:ascii="宋体" w:hAnsi="宋体" w:eastAsia="宋体" w:cs="宋体"/>
                <w:b/>
                <w:bCs/>
                <w:color w:val="auto"/>
                <w:sz w:val="24"/>
                <w:szCs w:val="24"/>
                <w:highlight w:val="none"/>
                <w:lang w:eastAsia="zh-CN"/>
              </w:rPr>
              <w:t>：</w:t>
            </w:r>
          </w:p>
          <w:p w14:paraId="67E7AC43">
            <w:pPr>
              <w:keepNext w:val="0"/>
              <w:keepLines w:val="0"/>
              <w:pageBreakBefore w:val="0"/>
              <w:widowControl w:val="0"/>
              <w:kinsoku/>
              <w:wordWrap/>
              <w:overflowPunct/>
              <w:topLinePunct w:val="0"/>
              <w:autoSpaceDE/>
              <w:autoSpaceDN/>
              <w:bidi w:val="0"/>
              <w:adjustRightInd/>
              <w:snapToGrid/>
              <w:spacing w:line="240" w:lineRule="auto"/>
              <w:ind w:firstLine="4337" w:firstLineChars="1800"/>
              <w:textAlignment w:val="auto"/>
              <w:rPr>
                <w:rFonts w:hint="eastAsia" w:ascii="宋体" w:hAnsi="宋体" w:eastAsia="宋体" w:cs="宋体"/>
                <w:b/>
                <w:bCs/>
                <w:color w:val="auto"/>
                <w:sz w:val="24"/>
                <w:szCs w:val="24"/>
                <w:highlight w:val="none"/>
              </w:rPr>
            </w:pPr>
          </w:p>
          <w:p w14:paraId="004102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lang w:eastAsia="zh-CN"/>
              </w:rPr>
            </w:pPr>
          </w:p>
          <w:p w14:paraId="3200F7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lang w:eastAsia="zh-CN"/>
              </w:rPr>
            </w:pPr>
          </w:p>
          <w:p w14:paraId="7B6D42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lang w:eastAsia="zh-CN"/>
              </w:rPr>
            </w:pPr>
          </w:p>
          <w:p w14:paraId="79044E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vertAlign w:val="baseline"/>
              </w:rPr>
            </w:pPr>
          </w:p>
        </w:tc>
      </w:tr>
    </w:tbl>
    <w:p w14:paraId="1BB6DF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注：（1）本表应于响应文件递交截止时间前单独提供至采购代理机构。（2）本表如与评分标准不一致，以评分标准为准。</w:t>
      </w:r>
    </w:p>
    <w:p w14:paraId="1887547D">
      <w:pPr>
        <w:rPr>
          <w:rFonts w:hint="eastAsia" w:ascii="宋体" w:hAnsi="宋体" w:eastAsia="宋体" w:cs="宋体"/>
          <w:b/>
          <w:color w:val="auto"/>
          <w:sz w:val="28"/>
          <w:szCs w:val="28"/>
          <w:highlight w:val="none"/>
          <w:shd w:val="clear" w:color="auto" w:fill="auto"/>
          <w:lang w:val="en-US" w:eastAsia="zh-CN"/>
        </w:rPr>
      </w:pPr>
    </w:p>
    <w:p w14:paraId="0C84EA03">
      <w:pPr>
        <w:rPr>
          <w:rFonts w:hint="eastAsia" w:ascii="宋体" w:hAnsi="宋体" w:eastAsia="宋体" w:cs="宋体"/>
          <w:b/>
          <w:color w:val="auto"/>
          <w:sz w:val="28"/>
          <w:szCs w:val="28"/>
          <w:highlight w:val="none"/>
          <w:shd w:val="clear" w:color="auto" w:fill="auto"/>
          <w:lang w:val="en-US" w:eastAsia="zh-CN"/>
        </w:rPr>
      </w:pPr>
    </w:p>
    <w:p w14:paraId="24999675">
      <w:pPr>
        <w:rPr>
          <w:rFonts w:hint="eastAsia" w:ascii="宋体" w:hAnsi="宋体" w:eastAsia="宋体" w:cs="宋体"/>
          <w:b/>
          <w:color w:val="auto"/>
          <w:sz w:val="28"/>
          <w:szCs w:val="28"/>
          <w:highlight w:val="none"/>
          <w:shd w:val="clear" w:color="auto" w:fill="auto"/>
          <w:lang w:val="en-US" w:eastAsia="zh-CN"/>
        </w:rPr>
      </w:pPr>
      <w:r>
        <w:rPr>
          <w:rFonts w:hint="eastAsia" w:ascii="宋体" w:hAnsi="宋体" w:eastAsia="宋体" w:cs="宋体"/>
          <w:b/>
          <w:color w:val="auto"/>
          <w:sz w:val="28"/>
          <w:szCs w:val="28"/>
          <w:highlight w:val="none"/>
          <w:shd w:val="clear" w:color="auto" w:fill="auto"/>
          <w:lang w:val="en-US" w:eastAsia="zh-CN"/>
        </w:rPr>
        <w:br w:type="page"/>
      </w:r>
    </w:p>
    <w:bookmarkEnd w:id="12"/>
    <w:bookmarkEnd w:id="13"/>
    <w:p w14:paraId="04D217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0"/>
          <w:highlight w:val="none"/>
          <w:shd w:val="clear" w:color="auto" w:fill="auto"/>
        </w:rPr>
      </w:pPr>
      <w:r>
        <w:rPr>
          <w:rFonts w:hint="eastAsia" w:ascii="宋体" w:hAnsi="宋体" w:eastAsia="宋体" w:cs="宋体"/>
          <w:b/>
          <w:bCs/>
          <w:color w:val="auto"/>
          <w:sz w:val="24"/>
          <w:szCs w:val="20"/>
          <w:highlight w:val="none"/>
          <w:shd w:val="clear" w:color="auto" w:fill="auto"/>
        </w:rPr>
        <w:t>附 1 财政部 司法部关于政府采购支持监狱企业发展有关问题的通知</w:t>
      </w:r>
    </w:p>
    <w:p w14:paraId="5AD2F3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财库〔2014〕68 号</w:t>
      </w:r>
    </w:p>
    <w:p w14:paraId="1E02DD7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 </w:t>
      </w:r>
    </w:p>
    <w:p w14:paraId="38D9DD9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 号）文件精神，发挥政府采购支持监狱企业发展的作用，现就有关事项通知如下：</w:t>
      </w:r>
    </w:p>
    <w:p w14:paraId="20FA2F5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 </w:t>
      </w:r>
    </w:p>
    <w:p w14:paraId="630FB5F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二、在政府采购活动中，监狱企业视同小型、微型企业，享受预留份额、评审中价格扣除等政 府采购促进中小企业发展的政府采购政策。向监狱企业采购的金额，计入面向中小企业采购的统计 数据。</w:t>
      </w:r>
    </w:p>
    <w:p w14:paraId="5F822F8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 </w:t>
      </w:r>
    </w:p>
    <w:p w14:paraId="322B5DA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四、各地区可以结合本地区实际，对监狱企业生产的办公用品、家具用具、车辆维修和提供的保养服务、消防设备等，提出预留份额等政府采购支持措施，加大对监狱企业产品的采购力度。 </w:t>
      </w:r>
    </w:p>
    <w:p w14:paraId="39050C8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 </w:t>
      </w:r>
    </w:p>
    <w:p w14:paraId="7A07A69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righ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中华人民共和国财政部 </w:t>
      </w:r>
    </w:p>
    <w:p w14:paraId="781E876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righ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中华人民共和国司法部 </w:t>
      </w:r>
    </w:p>
    <w:p w14:paraId="362B5D87">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righ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2014年</w:t>
      </w:r>
      <w:r>
        <w:rPr>
          <w:rFonts w:hint="eastAsia" w:ascii="宋体" w:hAnsi="宋体" w:eastAsia="宋体" w:cs="宋体"/>
          <w:b w:val="0"/>
          <w:bCs w:val="0"/>
          <w:color w:val="auto"/>
          <w:sz w:val="24"/>
          <w:szCs w:val="20"/>
          <w:highlight w:val="none"/>
          <w:shd w:val="clear" w:color="auto" w:fill="auto"/>
          <w:lang w:val="en-US" w:eastAsia="zh-CN"/>
        </w:rPr>
        <w:t>6</w:t>
      </w:r>
      <w:r>
        <w:rPr>
          <w:rFonts w:hint="eastAsia" w:ascii="宋体" w:hAnsi="宋体" w:eastAsia="宋体" w:cs="宋体"/>
          <w:b w:val="0"/>
          <w:bCs w:val="0"/>
          <w:color w:val="auto"/>
          <w:sz w:val="24"/>
          <w:szCs w:val="20"/>
          <w:highlight w:val="none"/>
          <w:shd w:val="clear" w:color="auto" w:fill="auto"/>
        </w:rPr>
        <w:t>月</w:t>
      </w:r>
      <w:r>
        <w:rPr>
          <w:rFonts w:hint="eastAsia" w:ascii="宋体" w:hAnsi="宋体" w:eastAsia="宋体" w:cs="宋体"/>
          <w:b w:val="0"/>
          <w:bCs w:val="0"/>
          <w:color w:val="auto"/>
          <w:sz w:val="24"/>
          <w:szCs w:val="20"/>
          <w:highlight w:val="none"/>
          <w:shd w:val="clear" w:color="auto" w:fill="auto"/>
          <w:lang w:val="en-US" w:eastAsia="zh-CN"/>
        </w:rPr>
        <w:t>10</w:t>
      </w:r>
      <w:r>
        <w:rPr>
          <w:rFonts w:hint="eastAsia" w:ascii="宋体" w:hAnsi="宋体" w:eastAsia="宋体" w:cs="宋体"/>
          <w:b w:val="0"/>
          <w:bCs w:val="0"/>
          <w:color w:val="auto"/>
          <w:sz w:val="24"/>
          <w:szCs w:val="20"/>
          <w:highlight w:val="none"/>
          <w:shd w:val="clear" w:color="auto" w:fill="auto"/>
        </w:rPr>
        <w:t>日</w:t>
      </w:r>
    </w:p>
    <w:p w14:paraId="3C9FD2E7">
      <w:pPr>
        <w:rPr>
          <w:rFonts w:hint="eastAsia" w:ascii="宋体" w:hAnsi="宋体" w:eastAsia="宋体" w:cs="宋体"/>
          <w:b/>
          <w:bCs/>
          <w:color w:val="auto"/>
          <w:sz w:val="24"/>
          <w:szCs w:val="20"/>
          <w:highlight w:val="none"/>
          <w:shd w:val="clear" w:color="auto" w:fill="auto"/>
          <w:lang w:val="en-US" w:eastAsia="zh-CN"/>
        </w:rPr>
      </w:pPr>
      <w:r>
        <w:rPr>
          <w:rFonts w:hint="eastAsia" w:ascii="宋体" w:hAnsi="宋体" w:eastAsia="宋体" w:cs="宋体"/>
          <w:b/>
          <w:bCs/>
          <w:color w:val="auto"/>
          <w:sz w:val="24"/>
          <w:szCs w:val="20"/>
          <w:highlight w:val="none"/>
          <w:shd w:val="clear" w:color="auto" w:fill="auto"/>
          <w:lang w:val="en-US" w:eastAsia="zh-CN"/>
        </w:rPr>
        <w:br w:type="page"/>
      </w:r>
    </w:p>
    <w:p w14:paraId="59412C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0"/>
          <w:highlight w:val="none"/>
          <w:shd w:val="clear" w:color="auto" w:fill="auto"/>
          <w:lang w:val="en-US" w:eastAsia="zh-CN"/>
        </w:rPr>
      </w:pPr>
      <w:r>
        <w:rPr>
          <w:rFonts w:hint="eastAsia" w:ascii="宋体" w:hAnsi="宋体" w:eastAsia="宋体" w:cs="宋体"/>
          <w:b/>
          <w:bCs/>
          <w:color w:val="auto"/>
          <w:sz w:val="24"/>
          <w:szCs w:val="20"/>
          <w:highlight w:val="none"/>
          <w:shd w:val="clear" w:color="auto" w:fill="auto"/>
          <w:lang w:val="en-US" w:eastAsia="zh-CN"/>
        </w:rPr>
        <w:t xml:space="preserve">附 2 关于印发中小企业划型标准规定的通知 </w:t>
      </w:r>
    </w:p>
    <w:p w14:paraId="74108E5C">
      <w:pPr>
        <w:keepNext w:val="0"/>
        <w:keepLines w:val="0"/>
        <w:pageBreakBefore w:val="0"/>
        <w:widowControl w:val="0"/>
        <w:kinsoku/>
        <w:wordWrap/>
        <w:overflowPunct/>
        <w:topLinePunct w:val="0"/>
        <w:autoSpaceDE/>
        <w:autoSpaceDN/>
        <w:bidi w:val="0"/>
        <w:adjustRightInd/>
        <w:snapToGrid/>
        <w:spacing w:line="430" w:lineRule="exact"/>
        <w:jc w:val="center"/>
        <w:textAlignment w:val="auto"/>
        <w:rPr>
          <w:rFonts w:hint="eastAsia" w:ascii="宋体" w:hAnsi="宋体" w:eastAsia="宋体" w:cs="宋体"/>
          <w:b w:val="0"/>
          <w:bCs w:val="0"/>
          <w:color w:val="auto"/>
          <w:sz w:val="24"/>
          <w:szCs w:val="20"/>
          <w:highlight w:val="none"/>
          <w:shd w:val="clear" w:color="auto" w:fill="auto"/>
          <w:lang w:val="en-US" w:eastAsia="zh-CN"/>
        </w:rPr>
      </w:pPr>
      <w:r>
        <w:rPr>
          <w:rFonts w:hint="eastAsia" w:ascii="宋体" w:hAnsi="宋体" w:eastAsia="宋体" w:cs="宋体"/>
          <w:b w:val="0"/>
          <w:bCs w:val="0"/>
          <w:color w:val="auto"/>
          <w:sz w:val="24"/>
          <w:szCs w:val="20"/>
          <w:highlight w:val="none"/>
          <w:shd w:val="clear" w:color="auto" w:fill="auto"/>
        </w:rPr>
        <w:t>工信部联企业〔 2011 〕300</w:t>
      </w:r>
      <w:r>
        <w:rPr>
          <w:rFonts w:hint="eastAsia" w:ascii="宋体" w:hAnsi="宋体" w:eastAsia="宋体" w:cs="宋体"/>
          <w:b w:val="0"/>
          <w:bCs w:val="0"/>
          <w:color w:val="auto"/>
          <w:sz w:val="24"/>
          <w:szCs w:val="20"/>
          <w:highlight w:val="none"/>
          <w:shd w:val="clear" w:color="auto" w:fill="auto"/>
          <w:lang w:val="en-US" w:eastAsia="zh-CN"/>
        </w:rPr>
        <w:t>号</w:t>
      </w:r>
    </w:p>
    <w:p w14:paraId="3EFB1D04">
      <w:pPr>
        <w:keepNext w:val="0"/>
        <w:keepLines w:val="0"/>
        <w:pageBreakBefore w:val="0"/>
        <w:widowControl w:val="0"/>
        <w:kinsoku/>
        <w:wordWrap/>
        <w:overflowPunct/>
        <w:topLinePunct w:val="0"/>
        <w:autoSpaceDE/>
        <w:autoSpaceDN/>
        <w:bidi w:val="0"/>
        <w:adjustRightInd/>
        <w:snapToGrid/>
        <w:spacing w:line="430" w:lineRule="exact"/>
        <w:jc w:val="left"/>
        <w:textAlignment w:val="auto"/>
        <w:rPr>
          <w:rFonts w:hint="eastAsia" w:ascii="宋体" w:hAnsi="宋体" w:eastAsia="宋体" w:cs="宋体"/>
          <w:b w:val="0"/>
          <w:bCs w:val="0"/>
          <w:color w:val="auto"/>
          <w:sz w:val="24"/>
          <w:szCs w:val="20"/>
          <w:highlight w:val="none"/>
          <w:shd w:val="clear" w:color="auto" w:fill="auto"/>
          <w:lang w:eastAsia="zh-CN"/>
        </w:rPr>
      </w:pPr>
      <w:r>
        <w:rPr>
          <w:rFonts w:hint="eastAsia" w:ascii="宋体" w:hAnsi="宋体" w:eastAsia="宋体" w:cs="宋体"/>
          <w:b w:val="0"/>
          <w:bCs w:val="0"/>
          <w:color w:val="auto"/>
          <w:sz w:val="24"/>
          <w:szCs w:val="20"/>
          <w:highlight w:val="none"/>
          <w:shd w:val="clear" w:color="auto" w:fill="auto"/>
        </w:rPr>
        <w:t>各省、自治区、直辖市人民政府，国务院各部委、各直属机构及有关单位</w:t>
      </w:r>
      <w:r>
        <w:rPr>
          <w:rFonts w:hint="eastAsia" w:ascii="宋体" w:hAnsi="宋体" w:eastAsia="宋体" w:cs="宋体"/>
          <w:b w:val="0"/>
          <w:bCs w:val="0"/>
          <w:color w:val="auto"/>
          <w:sz w:val="24"/>
          <w:szCs w:val="20"/>
          <w:highlight w:val="none"/>
          <w:shd w:val="clear" w:color="auto" w:fill="auto"/>
          <w:lang w:eastAsia="zh-CN"/>
        </w:rPr>
        <w:t>：</w:t>
      </w:r>
    </w:p>
    <w:p w14:paraId="2A14A85B">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为贯彻落实《中华人民共和国中小企业促进法》和《国务院关于进一步促进中小企业发展的若干意见》（国发〔2009〕36 号），工业和信息化部、国家统计局、发展改革委、财政部研究制定了《中小企业划型标准规定》。经国务院同意，现印发给你们，请遵照执行。</w:t>
      </w:r>
    </w:p>
    <w:p w14:paraId="24CA50FC">
      <w:pPr>
        <w:keepNext w:val="0"/>
        <w:keepLines w:val="0"/>
        <w:pageBreakBefore w:val="0"/>
        <w:widowControl w:val="0"/>
        <w:kinsoku/>
        <w:wordWrap/>
        <w:overflowPunct/>
        <w:topLinePunct w:val="0"/>
        <w:autoSpaceDE/>
        <w:autoSpaceDN/>
        <w:bidi w:val="0"/>
        <w:adjustRightInd/>
        <w:snapToGrid/>
        <w:spacing w:line="430" w:lineRule="exact"/>
        <w:jc w:val="righ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工业和信息化部 国家统计局</w:t>
      </w:r>
    </w:p>
    <w:p w14:paraId="6B959D60">
      <w:pPr>
        <w:keepNext w:val="0"/>
        <w:keepLines w:val="0"/>
        <w:pageBreakBefore w:val="0"/>
        <w:widowControl w:val="0"/>
        <w:kinsoku/>
        <w:wordWrap/>
        <w:overflowPunct/>
        <w:topLinePunct w:val="0"/>
        <w:autoSpaceDE/>
        <w:autoSpaceDN/>
        <w:bidi w:val="0"/>
        <w:adjustRightInd/>
        <w:snapToGrid/>
        <w:spacing w:line="430" w:lineRule="exact"/>
        <w:jc w:val="righ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国家发展和改革委员会 财政部</w:t>
      </w:r>
    </w:p>
    <w:p w14:paraId="4CF5B7EF">
      <w:pPr>
        <w:keepNext w:val="0"/>
        <w:keepLines w:val="0"/>
        <w:pageBreakBefore w:val="0"/>
        <w:widowControl w:val="0"/>
        <w:kinsoku/>
        <w:wordWrap/>
        <w:overflowPunct/>
        <w:topLinePunct w:val="0"/>
        <w:autoSpaceDE/>
        <w:autoSpaceDN/>
        <w:bidi w:val="0"/>
        <w:adjustRightInd/>
        <w:snapToGrid/>
        <w:spacing w:line="430" w:lineRule="exact"/>
        <w:jc w:val="righ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二○一一年六月十八日 </w:t>
      </w:r>
    </w:p>
    <w:p w14:paraId="6BF21E9D">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center"/>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中小企业划型标准规定</w:t>
      </w:r>
    </w:p>
    <w:p w14:paraId="30C7D3AD">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一、根据《中华人民共和国中小企业促进法》和《国务院关于进一步促进中小企业发展的若干意见》(国发〔2009〕36 号)，制定本规定。</w:t>
      </w:r>
    </w:p>
    <w:p w14:paraId="2146998B">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二、中小企业划分为中型、小型、微型三种类型，具体标准根据企业从业人员、营业收入、资产总额等指标，结合行业特点制定。</w:t>
      </w:r>
    </w:p>
    <w:p w14:paraId="0AE29F56">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三、本规定适用的行业包括</w:t>
      </w:r>
      <w:r>
        <w:rPr>
          <w:rFonts w:hint="eastAsia" w:ascii="宋体" w:hAnsi="宋体" w:eastAsia="宋体" w:cs="宋体"/>
          <w:b w:val="0"/>
          <w:bCs w:val="0"/>
          <w:color w:val="auto"/>
          <w:sz w:val="24"/>
          <w:szCs w:val="20"/>
          <w:highlight w:val="none"/>
          <w:shd w:val="clear" w:color="auto" w:fill="auto"/>
          <w:lang w:eastAsia="zh-CN"/>
        </w:rPr>
        <w:t>：</w:t>
      </w:r>
      <w:r>
        <w:rPr>
          <w:rFonts w:hint="eastAsia" w:ascii="宋体" w:hAnsi="宋体" w:eastAsia="宋体" w:cs="宋体"/>
          <w:b w:val="0"/>
          <w:bCs w:val="0"/>
          <w:color w:val="auto"/>
          <w:sz w:val="24"/>
          <w:szCs w:val="20"/>
          <w:highlight w:val="none"/>
          <w:shd w:val="clear" w:color="auto" w:fill="auto"/>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A0636C4">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lang w:eastAsia="zh-CN"/>
        </w:rPr>
      </w:pPr>
      <w:r>
        <w:rPr>
          <w:rFonts w:hint="eastAsia" w:ascii="宋体" w:hAnsi="宋体" w:eastAsia="宋体" w:cs="宋体"/>
          <w:b w:val="0"/>
          <w:bCs w:val="0"/>
          <w:color w:val="auto"/>
          <w:sz w:val="24"/>
          <w:szCs w:val="20"/>
          <w:highlight w:val="none"/>
          <w:shd w:val="clear" w:color="auto" w:fill="auto"/>
        </w:rPr>
        <w:t>四、各行业划型标准为</w:t>
      </w:r>
      <w:r>
        <w:rPr>
          <w:rFonts w:hint="eastAsia" w:ascii="宋体" w:hAnsi="宋体" w:eastAsia="宋体" w:cs="宋体"/>
          <w:b w:val="0"/>
          <w:bCs w:val="0"/>
          <w:color w:val="auto"/>
          <w:sz w:val="24"/>
          <w:szCs w:val="20"/>
          <w:highlight w:val="none"/>
          <w:shd w:val="clear" w:color="auto" w:fill="auto"/>
          <w:lang w:eastAsia="zh-CN"/>
        </w:rPr>
        <w:t>：</w:t>
      </w:r>
    </w:p>
    <w:p w14:paraId="7B2740A5">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（一）农、林、牧、渔业。营业收入 20000 万元以下的为中小微型企业。其中，营业收入 500 万元及以上的为中型企业，营业收入 50 万元及以上的为小型企业，营业收入 50 万元以下的为微型企业。</w:t>
      </w:r>
    </w:p>
    <w:p w14:paraId="0E88B9C8">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03D3077A">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（三）建筑业。营业收入 80000 万元以下或资产总额 80000 万元以下的为中小微型企业。其中，营业收入 6000 万元及以上，且资产总额 5000 万元及以上的为中型企业；营业收入 300万元及以上，且资产总额 300 万元及以上的为小型企业；营业收入 300 万元以下或资产总额300 万元以下的为微型企业。</w:t>
      </w:r>
    </w:p>
    <w:p w14:paraId="1AFBBDBB">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25697DB1">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08169F98">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（六）交通运输业。从业人员 1000 人以下或营业收入 30000 万元以下的为中小微型企业。其中，从业人员 300 人及以上，且营业收入 3000 万元及以上的为中型企业；从业人员 20 人及以上，且营业收入 190 万元及以上的为小型企业；从业人员 20 人以下或营业收入 190 万元以下的为微型企业。</w:t>
      </w:r>
    </w:p>
    <w:p w14:paraId="1DD9A52F">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（七）仓储业。从业人员 200 人以下或营业收入 30000 万元以下的为中小微型企业。其中，从业人员 100 人及以上，且营业收入 1000 万元及以上的为中型企业；从业人员 20 人及以上，且营业收入 100 万元及以上的为小型企业；从业人员 20 人以下或营业收入 100 万元以下的为微型企业。</w:t>
      </w:r>
    </w:p>
    <w:p w14:paraId="0F36AD17">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（八）邮政业。从业人员 1000 人以下或营业收入 30000 万元以下的为中小微型企业。其中，从业人员 300 人及以上，且营业收入 2000 万元及以上的为中型企业；从业人员 20 人及以上，且营业收入 100 万元及以上的为小型企业；从业人员 20 人以下或营业收入 100 万元以下的为微型企业。</w:t>
      </w:r>
    </w:p>
    <w:p w14:paraId="36C70340">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（九）住宿业。从业人员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14:paraId="5D976C82">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（十）餐饮业。从业人员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14:paraId="4FB7AA04">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（十一）信息传输业。从业人员 2000 人以下或营业收入 100000 万元以下的为中小微型企业。其中，从业人员 100 人及以上，且营业收入 1000 万元及以上的为中型企业；从业人员10 人及以上，且营业收入 100 万元及以上的为小型企业；从业人员 10 人以下或营业收入 100万元以下的为微型企业。</w:t>
      </w:r>
    </w:p>
    <w:p w14:paraId="67608204">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03EF430A">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（十三）房地产开发经营。营业收入 200000 万元以下或资产总额 10000 万元以下的为中小微型企业。其中，营业收入 1000 万元及以上，且资产总额 5000 万元及以上的为中型企业；营业收入 100 万元及以上，且资产总额 2000 万元及以上的为小型企业；营业收入 100 万元以下或资产总额 2000 万元以下的为微型企业。</w:t>
      </w:r>
    </w:p>
    <w:p w14:paraId="61E3E4DF">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（十四）物业管理。从业人员 1000 人以下或营业收入 5000 万元以下的为中小微型企业。其中，从业人员 300 人及以上，且营业收入 1000 万元及以上的为中型企业；从业人员 100 人及以上，且营业收入 500 万元及以上的为小型企业；从业人员 100 人以下或营业收入 500 万元以下的为微型企业。</w:t>
      </w:r>
    </w:p>
    <w:p w14:paraId="594F18C1">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（十五）租赁和商务服务业。从业人员 300 人以下或资产总额 120000 万元以下的为中小微型企业。其中，从业人员 100 人及以上，且资产总额 8000 万元及以上的为中型企业；从业人员 10 人及以上，且资产总额 100 万元及以上的为小型企业；从业人员 10 人以下或资产总额 100 万元以下的为微型企业。</w:t>
      </w:r>
    </w:p>
    <w:p w14:paraId="1104ABAF">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（十六）其他未列明行业。从业人员 300 人以下的为中小微型企业。其中，从业人员 100人及以上的为中型企业；从业人员 10 人及以上的为小型企业；从业人员 10 人以下的为微型企业。</w:t>
      </w:r>
    </w:p>
    <w:p w14:paraId="7F92CC67">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五、企业类型的划分以统计部门的统计数据为依据。</w:t>
      </w:r>
    </w:p>
    <w:p w14:paraId="21EDE8FA">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六、本规定适用于在中华人民共和国境内依法设立的各类所有制和各种组织形式的企业。个体工商户和本规定以外的行业，参照本规定进行划型。</w:t>
      </w:r>
    </w:p>
    <w:p w14:paraId="153E1DE9">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七、本规定的中型企业标准上限即为大型企业标准的下限，国家统计部门据此制定大中小微型企业的统计分类。国务院有关部门据此进行相关数据分析，不得制定与本规定不一致的企业划型标准。</w:t>
      </w:r>
    </w:p>
    <w:p w14:paraId="434035A4">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八、本规定由工业和信息化部、国家统计局会同有关部门根据《国民经济行业分类》修订情况和企业发展变化情况适时修订。</w:t>
      </w:r>
    </w:p>
    <w:p w14:paraId="5B51D600">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九、本规定由工业和信息化部、国家统计局会同有关部门负责解释。</w:t>
      </w:r>
    </w:p>
    <w:p w14:paraId="38F300F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0"/>
          <w:highlight w:val="none"/>
          <w:shd w:val="clear" w:color="auto" w:fill="auto"/>
          <w:lang w:val="en-US" w:eastAsia="zh-CN"/>
        </w:rPr>
      </w:pPr>
      <w:r>
        <w:rPr>
          <w:rFonts w:hint="eastAsia" w:ascii="宋体" w:hAnsi="宋体" w:eastAsia="宋体" w:cs="宋体"/>
          <w:b w:val="0"/>
          <w:bCs w:val="0"/>
          <w:color w:val="auto"/>
          <w:sz w:val="24"/>
          <w:szCs w:val="20"/>
          <w:highlight w:val="none"/>
          <w:shd w:val="clear" w:color="auto" w:fill="auto"/>
        </w:rPr>
        <w:t>十、本规定自发布之日起执行，原国家经贸委、原国家计委、财政部和国家统计局 2003年颁布的《中小企业标准暂行规定》同时废止。</w:t>
      </w:r>
    </w:p>
    <w:p w14:paraId="5A1F41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0"/>
          <w:highlight w:val="none"/>
          <w:shd w:val="clear" w:color="auto" w:fill="auto"/>
          <w:lang w:val="en-US" w:eastAsia="zh-CN"/>
        </w:rPr>
      </w:pPr>
    </w:p>
    <w:p w14:paraId="45C34874">
      <w:pPr>
        <w:pStyle w:val="5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0"/>
          <w:highlight w:val="none"/>
          <w:shd w:val="clear" w:color="auto" w:fill="auto"/>
          <w:lang w:val="en-US" w:eastAsia="zh-CN"/>
        </w:rPr>
      </w:pPr>
      <w:r>
        <w:rPr>
          <w:rFonts w:hint="eastAsia" w:ascii="宋体" w:hAnsi="宋体" w:eastAsia="宋体" w:cs="宋体"/>
          <w:b/>
          <w:bCs/>
          <w:color w:val="auto"/>
          <w:sz w:val="24"/>
          <w:szCs w:val="20"/>
          <w:highlight w:val="none"/>
          <w:shd w:val="clear" w:color="auto" w:fill="auto"/>
          <w:lang w:val="en-US" w:eastAsia="zh-CN"/>
        </w:rPr>
        <w:t xml:space="preserve">附 3：政府采购促进中小企业发展管理办法 </w:t>
      </w:r>
    </w:p>
    <w:p w14:paraId="4F2115EB">
      <w:pPr>
        <w:pStyle w:val="5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8"/>
          <w:szCs w:val="21"/>
          <w:highlight w:val="none"/>
          <w:shd w:val="clear" w:color="auto" w:fill="auto"/>
          <w:lang w:val="en-US" w:eastAsia="zh-CN"/>
        </w:rPr>
      </w:pPr>
      <w:r>
        <w:rPr>
          <w:rFonts w:hint="eastAsia" w:ascii="宋体" w:hAnsi="宋体" w:eastAsia="宋体" w:cs="宋体"/>
          <w:b w:val="0"/>
          <w:bCs w:val="0"/>
          <w:color w:val="auto"/>
          <w:sz w:val="24"/>
          <w:szCs w:val="20"/>
          <w:highlight w:val="none"/>
          <w:shd w:val="clear" w:color="auto" w:fill="auto"/>
          <w:lang w:val="en-US" w:eastAsia="zh-CN"/>
        </w:rPr>
        <w:t>财库 ﹝2020﹞46 号</w:t>
      </w:r>
    </w:p>
    <w:p w14:paraId="625B839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第一条 为了发挥政府采购的政策功能，促进中小企业 健康发展，根据《中华人民共和国政府采购法》、《中华人民共和国中小企业促进法》等有关法律法规，制定本办法。 </w:t>
      </w:r>
    </w:p>
    <w:p w14:paraId="78D1EDA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第二条 本办法所称中小企业，是指在中华人民共和国境内依法设立，依据国务院批准的中小企业划分标准确定的中型企业、小型企业和微型企业，但与大企业的负责人为同一人，或者与大企业存在直接控股、管理关系的除外。 </w:t>
      </w:r>
    </w:p>
    <w:p w14:paraId="6311F2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符合中小企业划分标准的个体工商户，在政府采购活动中视同中小企业。 </w:t>
      </w:r>
    </w:p>
    <w:p w14:paraId="76F00B2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第三条 </w:t>
      </w:r>
      <w:r>
        <w:rPr>
          <w:rFonts w:hint="eastAsia" w:ascii="宋体" w:hAnsi="宋体" w:eastAsia="宋体" w:cs="宋体"/>
          <w:b w:val="0"/>
          <w:bCs w:val="0"/>
          <w:color w:val="auto"/>
          <w:sz w:val="24"/>
          <w:szCs w:val="20"/>
          <w:highlight w:val="none"/>
          <w:shd w:val="clear" w:color="auto" w:fill="auto"/>
          <w:lang w:eastAsia="zh-CN"/>
        </w:rPr>
        <w:t>采购人</w:t>
      </w:r>
      <w:r>
        <w:rPr>
          <w:rFonts w:hint="eastAsia" w:ascii="宋体" w:hAnsi="宋体" w:eastAsia="宋体" w:cs="宋体"/>
          <w:b w:val="0"/>
          <w:bCs w:val="0"/>
          <w:color w:val="auto"/>
          <w:sz w:val="24"/>
          <w:szCs w:val="20"/>
          <w:highlight w:val="none"/>
          <w:shd w:val="clear" w:color="auto" w:fill="auto"/>
        </w:rPr>
        <w:t xml:space="preserve">在政府采购活动中应当通过加强采购需求管理，落实预留采购份额、价格评审优惠、优先采购等措施，提高中小企业在政府采购中的份额，支持中小企业发展。 </w:t>
      </w:r>
    </w:p>
    <w:p w14:paraId="248B1BA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第四条 在政府采购活动中，供应商提供的货物、工程或者服务符合下列情形的，享受本办法规定的中小企业扶持政策： </w:t>
      </w:r>
    </w:p>
    <w:p w14:paraId="2FFDD59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（一）在货物采购项目中，货物由中小企业制造，即货物由中小企业生产且使用该中小企业商号或者注册商标； </w:t>
      </w:r>
    </w:p>
    <w:p w14:paraId="51D2D6B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（二）在工程采购项目中，工程由中小企业承建，即工程施工单位为中小企业；</w:t>
      </w:r>
    </w:p>
    <w:p w14:paraId="4EBF035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（三）在服务采购项目中，服务由中小企业承接，即提供服务的人员为中小企业依照《中华人民共和国劳动合同法》订立劳动合同的从业人员。 </w:t>
      </w:r>
    </w:p>
    <w:p w14:paraId="2E36339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在货物采购项目中，供应商提供的货物既有中小企业制造货物，也有大型企业制造货物的，不享受本办法规定的中 小企业扶持政策。 </w:t>
      </w:r>
    </w:p>
    <w:p w14:paraId="5676C55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以联合体形式参加政府采购活动，联合体各方均为中小企业的，联合体视同中小企业。其中，联合体各方均为小微企业的，联合体视同小微企业。 </w:t>
      </w:r>
    </w:p>
    <w:p w14:paraId="5AE39ED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第五条 </w:t>
      </w:r>
      <w:r>
        <w:rPr>
          <w:rFonts w:hint="eastAsia" w:ascii="宋体" w:hAnsi="宋体" w:eastAsia="宋体" w:cs="宋体"/>
          <w:b w:val="0"/>
          <w:bCs w:val="0"/>
          <w:color w:val="auto"/>
          <w:sz w:val="24"/>
          <w:szCs w:val="20"/>
          <w:highlight w:val="none"/>
          <w:shd w:val="clear" w:color="auto" w:fill="auto"/>
          <w:lang w:eastAsia="zh-CN"/>
        </w:rPr>
        <w:t>采购人</w:t>
      </w:r>
      <w:r>
        <w:rPr>
          <w:rFonts w:hint="eastAsia" w:ascii="宋体" w:hAnsi="宋体" w:eastAsia="宋体" w:cs="宋体"/>
          <w:b w:val="0"/>
          <w:bCs w:val="0"/>
          <w:color w:val="auto"/>
          <w:sz w:val="24"/>
          <w:szCs w:val="20"/>
          <w:highlight w:val="none"/>
          <w:shd w:val="clear" w:color="auto" w:fill="auto"/>
        </w:rPr>
        <w:t xml:space="preserve">在政府采购活动中应当合理确定采购项目的采购需求，不得以企业注册资本、资产总额、营业收入、从业人员、利润、纳税额等规模条件和财务指标作为供 应商的资格要求或者评审因素，不得在企业股权结构、经营年限等方面对中小企业实行差别待遇或者歧视待遇。 </w:t>
      </w:r>
    </w:p>
    <w:p w14:paraId="78CC5DF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第六条 主管预算单位应当组织评估本部门及所属单位政府采购项目，统筹制定面向中小企业预留采购份额的具体方案，对适宜由中小企业提供的采购项目和采购包，预留 采购份额专门面向中小企业采购，并在政府采购预算中单独列示。 </w:t>
      </w:r>
    </w:p>
    <w:p w14:paraId="5FA872C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符合下列情形之一的，可不专门面向中小企业预留采购份额： </w:t>
      </w:r>
    </w:p>
    <w:p w14:paraId="1953593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（一）法律法规和国家有关政策明确规定优先或者应当面向事业单位、社会组织等非企业主体采购的；</w:t>
      </w:r>
    </w:p>
    <w:p w14:paraId="0DF7219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（二）因确需使用不可替代的专利、专有技术，基础设施限制，或者提供特定公共服务等原因，只能从中小企业之外的供应商处采购的； </w:t>
      </w:r>
    </w:p>
    <w:p w14:paraId="525BE5F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（三）按照本办法规定预留采购份额无法确保充分供应、充分竞争，或者存在可能影响政府采购目标实现的情形； </w:t>
      </w:r>
    </w:p>
    <w:p w14:paraId="402A36A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（四）框架协议采购项目； </w:t>
      </w:r>
    </w:p>
    <w:p w14:paraId="389662F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（五）省级以上人民政府财政部门规定的其他情形。除上述情形外，其他均为适宜由中小企业提供的情形。 </w:t>
      </w:r>
    </w:p>
    <w:p w14:paraId="0F46DAE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第七条 采购限额标准以上，200万元以下的货物和服务采购项目、400万元以下的工程采购项目，适宜由中小企业提供的，</w:t>
      </w:r>
      <w:r>
        <w:rPr>
          <w:rFonts w:hint="eastAsia" w:ascii="宋体" w:hAnsi="宋体" w:eastAsia="宋体" w:cs="宋体"/>
          <w:b w:val="0"/>
          <w:bCs w:val="0"/>
          <w:color w:val="auto"/>
          <w:sz w:val="24"/>
          <w:szCs w:val="20"/>
          <w:highlight w:val="none"/>
          <w:shd w:val="clear" w:color="auto" w:fill="auto"/>
          <w:lang w:eastAsia="zh-CN"/>
        </w:rPr>
        <w:t>采购人</w:t>
      </w:r>
      <w:r>
        <w:rPr>
          <w:rFonts w:hint="eastAsia" w:ascii="宋体" w:hAnsi="宋体" w:eastAsia="宋体" w:cs="宋体"/>
          <w:b w:val="0"/>
          <w:bCs w:val="0"/>
          <w:color w:val="auto"/>
          <w:sz w:val="24"/>
          <w:szCs w:val="20"/>
          <w:highlight w:val="none"/>
          <w:shd w:val="clear" w:color="auto" w:fill="auto"/>
        </w:rPr>
        <w:t xml:space="preserve">应当专门面向中小企业采购。 </w:t>
      </w:r>
    </w:p>
    <w:p w14:paraId="418FE96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第八条 超过200万元的货物和服务采购项目、超过400万元的工程采购项目中适宜由中小企业提供的，预留该部分采购项目预算总额的30%以上专门面向中小企业采购， 其中预留给小微企业的比例不低于60%。预留份额通过下列措施进行： </w:t>
      </w:r>
    </w:p>
    <w:p w14:paraId="0D86696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（一）将采购项目整体或者设置采购包专门面向中小企业采购； </w:t>
      </w:r>
    </w:p>
    <w:p w14:paraId="7097B28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（二）要求供应商以联合体形式参加采购活动，且联合体中中小企业承担的部分达到一定比例； </w:t>
      </w:r>
    </w:p>
    <w:p w14:paraId="599C883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（三）要求获得采购合同的供应商将采购项目中的一定比例分包给一家或者多家中小企业。</w:t>
      </w:r>
    </w:p>
    <w:p w14:paraId="69609C3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组成联合体或者接受分包合同的中小企业与联合体内其他企业、分包企业之间不得存在直接控股、管理关系。 </w:t>
      </w:r>
    </w:p>
    <w:p w14:paraId="6B0B69C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第九条 对于经主管预算单位统筹后未预留份额专门面向中小企业采购的采购项目，以及预留份额项目中的非预留部分采购包，</w:t>
      </w:r>
      <w:r>
        <w:rPr>
          <w:rFonts w:hint="eastAsia" w:ascii="宋体" w:hAnsi="宋体" w:eastAsia="宋体" w:cs="宋体"/>
          <w:b w:val="0"/>
          <w:bCs w:val="0"/>
          <w:color w:val="auto"/>
          <w:sz w:val="24"/>
          <w:szCs w:val="20"/>
          <w:highlight w:val="none"/>
          <w:shd w:val="clear" w:color="auto" w:fill="auto"/>
          <w:lang w:eastAsia="zh-CN"/>
        </w:rPr>
        <w:t>采购人</w:t>
      </w:r>
      <w:r>
        <w:rPr>
          <w:rFonts w:hint="eastAsia" w:ascii="宋体" w:hAnsi="宋体" w:eastAsia="宋体" w:cs="宋体"/>
          <w:b w:val="0"/>
          <w:bCs w:val="0"/>
          <w:color w:val="auto"/>
          <w:sz w:val="24"/>
          <w:szCs w:val="20"/>
          <w:highlight w:val="none"/>
          <w:shd w:val="clear" w:color="auto" w:fill="auto"/>
        </w:rPr>
        <w:t>、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CD6FEF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接受大中型企业与小微企业组成联合体或者允许大中型企业向一家或者多家小微企业分包的采购项目，对于联合协议或者分包意向协议约定小微企业的合同份额占到合同总金额30%以上的，</w:t>
      </w:r>
      <w:r>
        <w:rPr>
          <w:rFonts w:hint="eastAsia" w:ascii="宋体" w:hAnsi="宋体" w:eastAsia="宋体" w:cs="宋体"/>
          <w:b w:val="0"/>
          <w:bCs w:val="0"/>
          <w:color w:val="auto"/>
          <w:sz w:val="24"/>
          <w:szCs w:val="20"/>
          <w:highlight w:val="none"/>
          <w:shd w:val="clear" w:color="auto" w:fill="auto"/>
          <w:lang w:eastAsia="zh-CN"/>
        </w:rPr>
        <w:t>采购人</w:t>
      </w:r>
      <w:r>
        <w:rPr>
          <w:rFonts w:hint="eastAsia" w:ascii="宋体" w:hAnsi="宋体" w:eastAsia="宋体" w:cs="宋体"/>
          <w:b w:val="0"/>
          <w:bCs w:val="0"/>
          <w:color w:val="auto"/>
          <w:sz w:val="24"/>
          <w:szCs w:val="20"/>
          <w:highlight w:val="none"/>
          <w:shd w:val="clear" w:color="auto" w:fill="auto"/>
        </w:rPr>
        <w:t xml:space="preserve">、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 </w:t>
      </w:r>
    </w:p>
    <w:p w14:paraId="43AB5B7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组成联合体或者接受分包的小微企业与联合体内其他企业、分包企业之间存在直接控股、管理关系的，不享受价格扣除优惠政策。 </w:t>
      </w:r>
    </w:p>
    <w:p w14:paraId="307C2DB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价格扣除比例或者价格分加分比例对小型企业和微型企业同等对待，不作区分。具体采购项目的价格扣除比例或者价格分加分比例，由</w:t>
      </w:r>
      <w:r>
        <w:rPr>
          <w:rFonts w:hint="eastAsia" w:ascii="宋体" w:hAnsi="宋体" w:eastAsia="宋体" w:cs="宋体"/>
          <w:b w:val="0"/>
          <w:bCs w:val="0"/>
          <w:color w:val="auto"/>
          <w:sz w:val="24"/>
          <w:szCs w:val="20"/>
          <w:highlight w:val="none"/>
          <w:shd w:val="clear" w:color="auto" w:fill="auto"/>
          <w:lang w:eastAsia="zh-CN"/>
        </w:rPr>
        <w:t>采购人</w:t>
      </w:r>
      <w:r>
        <w:rPr>
          <w:rFonts w:hint="eastAsia" w:ascii="宋体" w:hAnsi="宋体" w:eastAsia="宋体" w:cs="宋体"/>
          <w:b w:val="0"/>
          <w:bCs w:val="0"/>
          <w:color w:val="auto"/>
          <w:sz w:val="24"/>
          <w:szCs w:val="20"/>
          <w:highlight w:val="none"/>
          <w:shd w:val="clear" w:color="auto" w:fill="auto"/>
        </w:rPr>
        <w:t xml:space="preserve">根据采购标的相关行业平均利润率、市场竞争状况等，在本办法规定的幅度内确定。 </w:t>
      </w:r>
    </w:p>
    <w:p w14:paraId="69A5F7D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第十条 </w:t>
      </w:r>
      <w:r>
        <w:rPr>
          <w:rFonts w:hint="eastAsia" w:ascii="宋体" w:hAnsi="宋体" w:eastAsia="宋体" w:cs="宋体"/>
          <w:b w:val="0"/>
          <w:bCs w:val="0"/>
          <w:color w:val="auto"/>
          <w:sz w:val="24"/>
          <w:szCs w:val="20"/>
          <w:highlight w:val="none"/>
          <w:shd w:val="clear" w:color="auto" w:fill="auto"/>
          <w:lang w:eastAsia="zh-CN"/>
        </w:rPr>
        <w:t>采购人</w:t>
      </w:r>
      <w:r>
        <w:rPr>
          <w:rFonts w:hint="eastAsia" w:ascii="宋体" w:hAnsi="宋体" w:eastAsia="宋体" w:cs="宋体"/>
          <w:b w:val="0"/>
          <w:bCs w:val="0"/>
          <w:color w:val="auto"/>
          <w:sz w:val="24"/>
          <w:szCs w:val="20"/>
          <w:highlight w:val="none"/>
          <w:shd w:val="clear" w:color="auto" w:fill="auto"/>
        </w:rPr>
        <w:t xml:space="preserve">应当严格按照本办法规定和主管预算单位制定的预留采购份额具体方案开展采购活动。预留份额的采购项目或者采购包，通过发布公告方式邀请供应商后， 符合资格条件的中小企业数量不足3家的，应当中止采购活动，视同未预留份额的采购项目或者采购包，按照本办法第九条有关规定重新组织采购活动。 </w:t>
      </w:r>
    </w:p>
    <w:p w14:paraId="30F8A55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第十一条 中小企业参加政府采购活动，应当出具本办法规定的《中小企业声明函》（附件 1），否则不得享受相关中小企业扶持政策。任何单位和个人不得要求供应商提供《中小企业声明函》之外的中小企业身份证明文件。 </w:t>
      </w:r>
    </w:p>
    <w:p w14:paraId="6FFD18F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第十二条 采购项目涉及中小企业采购的，</w:t>
      </w:r>
      <w:r>
        <w:rPr>
          <w:rFonts w:hint="eastAsia" w:ascii="宋体" w:hAnsi="宋体" w:eastAsia="宋体" w:cs="宋体"/>
          <w:b w:val="0"/>
          <w:bCs w:val="0"/>
          <w:color w:val="auto"/>
          <w:sz w:val="24"/>
          <w:szCs w:val="20"/>
          <w:highlight w:val="none"/>
          <w:shd w:val="clear" w:color="auto" w:fill="auto"/>
          <w:lang w:eastAsia="zh-CN"/>
        </w:rPr>
        <w:t>招标文件</w:t>
      </w:r>
      <w:r>
        <w:rPr>
          <w:rFonts w:hint="eastAsia" w:ascii="宋体" w:hAnsi="宋体" w:eastAsia="宋体" w:cs="宋体"/>
          <w:b w:val="0"/>
          <w:bCs w:val="0"/>
          <w:color w:val="auto"/>
          <w:sz w:val="24"/>
          <w:szCs w:val="20"/>
          <w:highlight w:val="none"/>
          <w:shd w:val="clear" w:color="auto" w:fill="auto"/>
        </w:rPr>
        <w:t xml:space="preserve">应当明确以下内容： </w:t>
      </w:r>
    </w:p>
    <w:p w14:paraId="3CE3DE8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（一）预留份额的采购项目或者采购包，明确该项目或相关采购包专门面向中小企业采购，以及相关标的及预算金额； </w:t>
      </w:r>
    </w:p>
    <w:p w14:paraId="5C1471A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（二）要求以联合体形式参加或者合同分包的，明确联合协议或者分包意向协议中中小企业合同金额应当达到的比例，并作为供应商资格条件； </w:t>
      </w:r>
    </w:p>
    <w:p w14:paraId="11FFFF4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（三）非预留份额的采购项目或者采购包，明确有关价格扣除比例或者价格分加分比例； </w:t>
      </w:r>
    </w:p>
    <w:p w14:paraId="2424BB3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（四）规定依据本办法规定享受扶持政策获得政府采购合同的，小微企业不得将合同分包给大中型企业，中型企业不得将合同分包给大型企业； </w:t>
      </w:r>
    </w:p>
    <w:p w14:paraId="43C7F24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（五）</w:t>
      </w:r>
      <w:r>
        <w:rPr>
          <w:rFonts w:hint="eastAsia" w:ascii="宋体" w:hAnsi="宋体" w:eastAsia="宋体" w:cs="宋体"/>
          <w:b w:val="0"/>
          <w:bCs w:val="0"/>
          <w:color w:val="auto"/>
          <w:sz w:val="24"/>
          <w:szCs w:val="20"/>
          <w:highlight w:val="none"/>
          <w:shd w:val="clear" w:color="auto" w:fill="auto"/>
          <w:lang w:eastAsia="zh-CN"/>
        </w:rPr>
        <w:t>采购人</w:t>
      </w:r>
      <w:r>
        <w:rPr>
          <w:rFonts w:hint="eastAsia" w:ascii="宋体" w:hAnsi="宋体" w:eastAsia="宋体" w:cs="宋体"/>
          <w:b w:val="0"/>
          <w:bCs w:val="0"/>
          <w:color w:val="auto"/>
          <w:sz w:val="24"/>
          <w:szCs w:val="20"/>
          <w:highlight w:val="none"/>
          <w:shd w:val="clear" w:color="auto" w:fill="auto"/>
        </w:rPr>
        <w:t>认为具备相关条件的，明确对中小企业在资金支付期限、预付款比例等方面的优惠措施；</w:t>
      </w:r>
    </w:p>
    <w:p w14:paraId="37FE0AE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（六）明确采购标的对应的中小企业划分标准所属行业； </w:t>
      </w:r>
    </w:p>
    <w:p w14:paraId="5FA39C3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（七）法律法规和省级以上人民政府财政部门规定的其他事项。 </w:t>
      </w:r>
    </w:p>
    <w:p w14:paraId="4A75830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第十三条 中标、成交供应商享受本办法规定的中小企业扶持政策的，</w:t>
      </w:r>
      <w:r>
        <w:rPr>
          <w:rFonts w:hint="eastAsia" w:ascii="宋体" w:hAnsi="宋体" w:eastAsia="宋体" w:cs="宋体"/>
          <w:b w:val="0"/>
          <w:bCs w:val="0"/>
          <w:color w:val="auto"/>
          <w:sz w:val="24"/>
          <w:szCs w:val="20"/>
          <w:highlight w:val="none"/>
          <w:shd w:val="clear" w:color="auto" w:fill="auto"/>
          <w:lang w:eastAsia="zh-CN"/>
        </w:rPr>
        <w:t>采购人</w:t>
      </w:r>
      <w:r>
        <w:rPr>
          <w:rFonts w:hint="eastAsia" w:ascii="宋体" w:hAnsi="宋体" w:eastAsia="宋体" w:cs="宋体"/>
          <w:b w:val="0"/>
          <w:bCs w:val="0"/>
          <w:color w:val="auto"/>
          <w:sz w:val="24"/>
          <w:szCs w:val="20"/>
          <w:highlight w:val="none"/>
          <w:shd w:val="clear" w:color="auto" w:fill="auto"/>
        </w:rPr>
        <w:t xml:space="preserve">、采购代理机构应当随中标、成交结果公开中标、成交供应商的《中小企业声明函》。适用招标投标法的政府采购工程建设项目，应当在公示中标候选人时公开中标候选人的《中小企业声明函》。 </w:t>
      </w:r>
    </w:p>
    <w:p w14:paraId="0D5F50C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 </w:t>
      </w:r>
    </w:p>
    <w:p w14:paraId="2232C96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第十五条 鼓励各地区、各部门在采购活动中允许中小企业引入信用担保手段，为中小企业在投标（响应）保证、履约保证等方面提供专业化服务。鼓励中小企业依法合规通过政府采购合同融资。 </w:t>
      </w:r>
    </w:p>
    <w:p w14:paraId="4929107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第十六条 政府采购监督检查、投诉处理及政府采购行政处罚中对中小企业的认定，由货物制造商或者工程、服务供应商注册登记所在地的县级以上人民政府中小企业主管部门负责。 </w:t>
      </w:r>
    </w:p>
    <w:p w14:paraId="027353C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中小企业主管部门应当在收到财政部门或者有关招标投标行政监督部门关于协助开展中小企业认定函后10个工作日内做出书面答复。 </w:t>
      </w:r>
    </w:p>
    <w:p w14:paraId="3B0185A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第十七条 各地区、各部门应当对涉及中小企业采购的预算项目实施全过程绩效管理，合理设置绩效目标和指标，落实扶持中小企业有关政策要求，定期开展绩效监控和评价，强化绩效评价结果应用。 </w:t>
      </w:r>
    </w:p>
    <w:p w14:paraId="5C86D82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第十八条 主管预算单位应当自2022年起向同级财政部门报告本部门上一年度面向中小企业预留份额和采购的具体情况，并在中国政府采购网公开预留项目执行情况(附件2)。未达到本办法规定的预留份额比例的，应当作出说明。 </w:t>
      </w:r>
    </w:p>
    <w:p w14:paraId="15B36CB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第十九条 </w:t>
      </w:r>
      <w:r>
        <w:rPr>
          <w:rFonts w:hint="eastAsia" w:ascii="宋体" w:hAnsi="宋体" w:eastAsia="宋体" w:cs="宋体"/>
          <w:b w:val="0"/>
          <w:bCs w:val="0"/>
          <w:color w:val="auto"/>
          <w:sz w:val="24"/>
          <w:szCs w:val="20"/>
          <w:highlight w:val="none"/>
          <w:shd w:val="clear" w:color="auto" w:fill="auto"/>
          <w:lang w:eastAsia="zh-CN"/>
        </w:rPr>
        <w:t>采购人</w:t>
      </w:r>
      <w:r>
        <w:rPr>
          <w:rFonts w:hint="eastAsia" w:ascii="宋体" w:hAnsi="宋体" w:eastAsia="宋体" w:cs="宋体"/>
          <w:b w:val="0"/>
          <w:bCs w:val="0"/>
          <w:color w:val="auto"/>
          <w:sz w:val="24"/>
          <w:szCs w:val="20"/>
          <w:highlight w:val="none"/>
          <w:shd w:val="clear" w:color="auto" w:fill="auto"/>
        </w:rPr>
        <w:t>未按本办法规定为中小企业预留采购份额，</w:t>
      </w:r>
      <w:r>
        <w:rPr>
          <w:rFonts w:hint="eastAsia" w:ascii="宋体" w:hAnsi="宋体" w:eastAsia="宋体" w:cs="宋体"/>
          <w:b w:val="0"/>
          <w:bCs w:val="0"/>
          <w:color w:val="auto"/>
          <w:sz w:val="24"/>
          <w:szCs w:val="20"/>
          <w:highlight w:val="none"/>
          <w:shd w:val="clear" w:color="auto" w:fill="auto"/>
          <w:lang w:eastAsia="zh-CN"/>
        </w:rPr>
        <w:t>采购人</w:t>
      </w:r>
      <w:r>
        <w:rPr>
          <w:rFonts w:hint="eastAsia" w:ascii="宋体" w:hAnsi="宋体" w:eastAsia="宋体" w:cs="宋体"/>
          <w:b w:val="0"/>
          <w:bCs w:val="0"/>
          <w:color w:val="auto"/>
          <w:sz w:val="24"/>
          <w:szCs w:val="20"/>
          <w:highlight w:val="none"/>
          <w:shd w:val="clear" w:color="auto" w:fill="auto"/>
        </w:rPr>
        <w:t xml:space="preserve">、采购代理机构未按照本办法规定要求实施价格扣除或者价格分加分的，属于未按照规定执行政府采购政策，依照《中华人民共和国政府采购法》等国家有关规定追究法律责任。 </w:t>
      </w:r>
    </w:p>
    <w:p w14:paraId="2B8B174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第二十条 供应商按照本办法规定提供声明函内容不实的，属于提供虚假材料谋取中标、成交，依照《中华人民 共和国政府采购法》等国家有关规定追究相应责任。 </w:t>
      </w:r>
    </w:p>
    <w:p w14:paraId="70E9333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适用招标投标法的政府采购工程建设项目，投标人按照本办法规定提供声明函内容不实的，属于弄虚作假骗取中标，依照《中华人民共和国招标投标法》等国家有关规定追究相应责任。 </w:t>
      </w:r>
    </w:p>
    <w:p w14:paraId="16E0602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 </w:t>
      </w:r>
    </w:p>
    <w:p w14:paraId="7C68030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第二十二条 对外援助项目、国家相关资格或者资质管理制度另有规定的项目，不适用本办法。 </w:t>
      </w:r>
    </w:p>
    <w:p w14:paraId="1E9F4D3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第二十三条 关于视同中小企业的其他主体的政府采购扶持政策，由财政部会同有关部门另行规定。</w:t>
      </w:r>
    </w:p>
    <w:p w14:paraId="774DFC5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 xml:space="preserve">第二十四条 省级财政部门可以会同中小企业主管部门根据本办法的规定制定具体实施办法。 </w:t>
      </w:r>
    </w:p>
    <w:p w14:paraId="337BFEE0">
      <w:pPr>
        <w:pStyle w:val="5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8"/>
          <w:szCs w:val="21"/>
          <w:highlight w:val="none"/>
          <w:shd w:val="clear" w:color="auto" w:fill="auto"/>
          <w:lang w:val="en-US" w:eastAsia="zh-CN"/>
        </w:rPr>
      </w:pPr>
      <w:r>
        <w:rPr>
          <w:rFonts w:hint="eastAsia" w:ascii="宋体" w:hAnsi="宋体" w:eastAsia="宋体" w:cs="宋体"/>
          <w:b w:val="0"/>
          <w:bCs w:val="0"/>
          <w:color w:val="auto"/>
          <w:sz w:val="24"/>
          <w:szCs w:val="20"/>
          <w:highlight w:val="none"/>
          <w:shd w:val="clear" w:color="auto" w:fill="auto"/>
        </w:rPr>
        <w:t>第二十五条 本办法自</w:t>
      </w:r>
      <w:r>
        <w:rPr>
          <w:rFonts w:hint="eastAsia" w:ascii="宋体" w:hAnsi="宋体" w:eastAsia="宋体" w:cs="宋体"/>
          <w:b w:val="0"/>
          <w:bCs w:val="0"/>
          <w:color w:val="auto"/>
          <w:sz w:val="24"/>
          <w:szCs w:val="20"/>
          <w:highlight w:val="none"/>
          <w:shd w:val="clear" w:color="auto" w:fill="auto"/>
          <w:lang w:eastAsia="zh-CN"/>
        </w:rPr>
        <w:t>2022年</w:t>
      </w:r>
      <w:r>
        <w:rPr>
          <w:rFonts w:hint="eastAsia" w:ascii="宋体" w:hAnsi="宋体" w:eastAsia="宋体" w:cs="宋体"/>
          <w:b w:val="0"/>
          <w:bCs w:val="0"/>
          <w:color w:val="auto"/>
          <w:sz w:val="24"/>
          <w:szCs w:val="20"/>
          <w:highlight w:val="none"/>
          <w:shd w:val="clear" w:color="auto" w:fill="auto"/>
        </w:rPr>
        <w:t>1月1日起施行。《财政部工业和信息化部关于印发〈政府采购促进中小企业发展暂行办法〉的通知》（财库﹝2011﹞181号）同时废止。</w:t>
      </w:r>
    </w:p>
    <w:p w14:paraId="6A7D088A">
      <w:pPr>
        <w:rPr>
          <w:rFonts w:hint="eastAsia" w:ascii="宋体" w:hAnsi="宋体" w:eastAsia="宋体" w:cs="宋体"/>
          <w:b/>
          <w:bCs/>
          <w:color w:val="auto"/>
          <w:sz w:val="24"/>
          <w:szCs w:val="20"/>
          <w:highlight w:val="none"/>
          <w:shd w:val="clear" w:color="auto" w:fill="auto"/>
          <w:lang w:val="en-US" w:eastAsia="zh-CN"/>
        </w:rPr>
      </w:pPr>
      <w:r>
        <w:rPr>
          <w:rFonts w:hint="eastAsia" w:ascii="宋体" w:hAnsi="宋体" w:eastAsia="宋体" w:cs="宋体"/>
          <w:b/>
          <w:bCs/>
          <w:color w:val="auto"/>
          <w:sz w:val="24"/>
          <w:szCs w:val="20"/>
          <w:highlight w:val="none"/>
          <w:shd w:val="clear" w:color="auto" w:fill="auto"/>
          <w:lang w:val="en-US" w:eastAsia="zh-CN"/>
        </w:rPr>
        <w:br w:type="page"/>
      </w:r>
    </w:p>
    <w:p w14:paraId="7F2A2BA8">
      <w:pPr>
        <w:pStyle w:val="52"/>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
          <w:bCs/>
          <w:color w:val="auto"/>
          <w:sz w:val="28"/>
          <w:szCs w:val="21"/>
          <w:highlight w:val="none"/>
          <w:shd w:val="clear" w:color="auto" w:fill="auto"/>
        </w:rPr>
      </w:pPr>
      <w:r>
        <w:rPr>
          <w:rFonts w:hint="eastAsia" w:ascii="宋体" w:hAnsi="宋体" w:eastAsia="宋体" w:cs="宋体"/>
          <w:b/>
          <w:bCs/>
          <w:color w:val="auto"/>
          <w:sz w:val="28"/>
          <w:szCs w:val="21"/>
          <w:highlight w:val="none"/>
          <w:shd w:val="clear" w:color="auto" w:fill="auto"/>
          <w:lang w:val="en-US" w:eastAsia="zh-CN"/>
        </w:rPr>
        <w:t>三、</w:t>
      </w:r>
      <w:r>
        <w:rPr>
          <w:rFonts w:hint="eastAsia" w:ascii="宋体" w:hAnsi="宋体" w:eastAsia="宋体" w:cs="宋体"/>
          <w:b/>
          <w:bCs/>
          <w:color w:val="auto"/>
          <w:sz w:val="28"/>
          <w:szCs w:val="21"/>
          <w:highlight w:val="none"/>
          <w:shd w:val="clear" w:color="auto" w:fill="auto"/>
        </w:rPr>
        <w:t>关于促进残疾人就业政府采购政策的通知</w:t>
      </w:r>
    </w:p>
    <w:p w14:paraId="3CF92FB7">
      <w:pPr>
        <w:pStyle w:val="52"/>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财库〔2017〕141 号</w:t>
      </w:r>
    </w:p>
    <w:p w14:paraId="625C6430">
      <w:pPr>
        <w:pStyle w:val="5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0"/>
          <w:highlight w:val="none"/>
          <w:shd w:val="clear" w:color="auto" w:fill="auto"/>
          <w:lang w:eastAsia="zh-CN"/>
        </w:rPr>
      </w:pPr>
      <w:r>
        <w:rPr>
          <w:rFonts w:hint="eastAsia" w:ascii="宋体" w:hAnsi="宋体" w:eastAsia="宋体" w:cs="宋体"/>
          <w:b w:val="0"/>
          <w:bCs w:val="0"/>
          <w:color w:val="auto"/>
          <w:sz w:val="24"/>
          <w:szCs w:val="20"/>
          <w:highlight w:val="none"/>
          <w:shd w:val="clear" w:color="auto" w:fill="auto"/>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r>
        <w:rPr>
          <w:rFonts w:hint="eastAsia" w:ascii="宋体" w:hAnsi="宋体" w:eastAsia="宋体" w:cs="宋体"/>
          <w:b w:val="0"/>
          <w:bCs w:val="0"/>
          <w:color w:val="auto"/>
          <w:sz w:val="24"/>
          <w:szCs w:val="20"/>
          <w:highlight w:val="none"/>
          <w:shd w:val="clear" w:color="auto" w:fill="auto"/>
          <w:lang w:eastAsia="zh-CN"/>
        </w:rPr>
        <w:t>：</w:t>
      </w:r>
    </w:p>
    <w:p w14:paraId="6A3B5596">
      <w:pPr>
        <w:pStyle w:val="5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0"/>
          <w:highlight w:val="none"/>
          <w:shd w:val="clear" w:color="auto" w:fill="auto"/>
          <w:lang w:eastAsia="zh-CN"/>
        </w:rPr>
      </w:pPr>
      <w:r>
        <w:rPr>
          <w:rFonts w:hint="eastAsia" w:ascii="宋体" w:hAnsi="宋体" w:eastAsia="宋体" w:cs="宋体"/>
          <w:b w:val="0"/>
          <w:bCs w:val="0"/>
          <w:color w:val="auto"/>
          <w:sz w:val="24"/>
          <w:szCs w:val="20"/>
          <w:highlight w:val="none"/>
          <w:shd w:val="clear" w:color="auto" w:fill="auto"/>
        </w:rPr>
        <w:t>为了发挥政府采购促进残疾人就业的作用，进一步保障残疾人权益，依照《政府采购法》、《残疾人保障法》等法律法规及相关规定，现就促进残疾人就业政府采购政策通知如下</w:t>
      </w:r>
      <w:r>
        <w:rPr>
          <w:rFonts w:hint="eastAsia" w:ascii="宋体" w:hAnsi="宋体" w:eastAsia="宋体" w:cs="宋体"/>
          <w:b w:val="0"/>
          <w:bCs w:val="0"/>
          <w:color w:val="auto"/>
          <w:sz w:val="24"/>
          <w:szCs w:val="20"/>
          <w:highlight w:val="none"/>
          <w:shd w:val="clear" w:color="auto" w:fill="auto"/>
          <w:lang w:eastAsia="zh-CN"/>
        </w:rPr>
        <w:t>：</w:t>
      </w:r>
    </w:p>
    <w:p w14:paraId="7DF7D50E">
      <w:pPr>
        <w:pStyle w:val="5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0"/>
          <w:highlight w:val="none"/>
          <w:shd w:val="clear" w:color="auto" w:fill="auto"/>
          <w:lang w:eastAsia="zh-CN"/>
        </w:rPr>
      </w:pPr>
      <w:r>
        <w:rPr>
          <w:rFonts w:hint="eastAsia" w:ascii="宋体" w:hAnsi="宋体" w:eastAsia="宋体" w:cs="宋体"/>
          <w:b w:val="0"/>
          <w:bCs w:val="0"/>
          <w:color w:val="auto"/>
          <w:sz w:val="24"/>
          <w:szCs w:val="20"/>
          <w:highlight w:val="none"/>
          <w:shd w:val="clear" w:color="auto" w:fill="auto"/>
        </w:rPr>
        <w:t>一、享受政府采购支持政策的残疾人福利性单位应当同时满足以下条件</w:t>
      </w:r>
      <w:r>
        <w:rPr>
          <w:rFonts w:hint="eastAsia" w:ascii="宋体" w:hAnsi="宋体" w:eastAsia="宋体" w:cs="宋体"/>
          <w:b w:val="0"/>
          <w:bCs w:val="0"/>
          <w:color w:val="auto"/>
          <w:sz w:val="24"/>
          <w:szCs w:val="20"/>
          <w:highlight w:val="none"/>
          <w:shd w:val="clear" w:color="auto" w:fill="auto"/>
          <w:lang w:eastAsia="zh-CN"/>
        </w:rPr>
        <w:t>：</w:t>
      </w:r>
    </w:p>
    <w:p w14:paraId="6ADD22B2">
      <w:pPr>
        <w:pStyle w:val="5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（一）安置的残疾人占本单位在职职工人数的比例不低于25%（含25%），并且安置的残疾人人数不少于10人（含10人）；</w:t>
      </w:r>
    </w:p>
    <w:p w14:paraId="39F43499">
      <w:pPr>
        <w:pStyle w:val="5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（二）依法与安置的每位残疾人签订了一年以上（含一年）的劳动合同或服务协议；</w:t>
      </w:r>
    </w:p>
    <w:p w14:paraId="4D435D99">
      <w:pPr>
        <w:pStyle w:val="5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（三）为安置的每位残疾人按月足额缴纳了基本养老保险、基本医疗保险、失业保险、工伤保险和生育保险等社会保险费；</w:t>
      </w:r>
    </w:p>
    <w:p w14:paraId="12004F67">
      <w:pPr>
        <w:pStyle w:val="5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（四）通过银行等金融机构向安置的每位残疾人，按月支付了不低于单位所在区县适用的经省级人民政府批准的月最低工资标准的工资；</w:t>
      </w:r>
    </w:p>
    <w:p w14:paraId="6510784E">
      <w:pPr>
        <w:pStyle w:val="5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8555D26">
      <w:pPr>
        <w:pStyle w:val="5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二、符合条件的残疾人福利性单位在参加政府采购活动时，应当提供本通知规定的《残</w:t>
      </w:r>
    </w:p>
    <w:p w14:paraId="00C54698">
      <w:pPr>
        <w:pStyle w:val="5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疾人福利性单位声明函》（见附件），并对声明的真实性负责。任何单位或者个人在政府采购活动中均不得要求残疾人福利性单位提供其他证明声明函内容的材料。</w:t>
      </w:r>
    </w:p>
    <w:p w14:paraId="69389EF4">
      <w:pPr>
        <w:pStyle w:val="5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中标、</w:t>
      </w:r>
      <w:r>
        <w:rPr>
          <w:rFonts w:hint="eastAsia" w:ascii="宋体" w:hAnsi="宋体" w:eastAsia="宋体" w:cs="宋体"/>
          <w:b w:val="0"/>
          <w:bCs w:val="0"/>
          <w:color w:val="auto"/>
          <w:sz w:val="24"/>
          <w:szCs w:val="20"/>
          <w:highlight w:val="none"/>
          <w:shd w:val="clear" w:color="auto" w:fill="auto"/>
          <w:lang w:eastAsia="zh-CN"/>
        </w:rPr>
        <w:t>成交人</w:t>
      </w:r>
      <w:r>
        <w:rPr>
          <w:rFonts w:hint="eastAsia" w:ascii="宋体" w:hAnsi="宋体" w:eastAsia="宋体" w:cs="宋体"/>
          <w:b w:val="0"/>
          <w:bCs w:val="0"/>
          <w:color w:val="auto"/>
          <w:sz w:val="24"/>
          <w:szCs w:val="20"/>
          <w:highlight w:val="none"/>
          <w:shd w:val="clear" w:color="auto" w:fill="auto"/>
        </w:rPr>
        <w:t>为残疾人福利性单位的，</w:t>
      </w:r>
      <w:r>
        <w:rPr>
          <w:rFonts w:hint="eastAsia" w:ascii="宋体" w:hAnsi="宋体" w:eastAsia="宋体" w:cs="宋体"/>
          <w:b w:val="0"/>
          <w:bCs w:val="0"/>
          <w:color w:val="auto"/>
          <w:sz w:val="24"/>
          <w:szCs w:val="20"/>
          <w:highlight w:val="none"/>
          <w:shd w:val="clear" w:color="auto" w:fill="auto"/>
          <w:lang w:eastAsia="zh-CN"/>
        </w:rPr>
        <w:t>采购人</w:t>
      </w:r>
      <w:r>
        <w:rPr>
          <w:rFonts w:hint="eastAsia" w:ascii="宋体" w:hAnsi="宋体" w:eastAsia="宋体" w:cs="宋体"/>
          <w:b w:val="0"/>
          <w:bCs w:val="0"/>
          <w:color w:val="auto"/>
          <w:sz w:val="24"/>
          <w:szCs w:val="20"/>
          <w:highlight w:val="none"/>
          <w:shd w:val="clear" w:color="auto" w:fill="auto"/>
        </w:rPr>
        <w:t>或者其委托的</w:t>
      </w:r>
      <w:r>
        <w:rPr>
          <w:rFonts w:hint="eastAsia" w:ascii="宋体" w:hAnsi="宋体" w:eastAsia="宋体" w:cs="宋体"/>
          <w:b w:val="0"/>
          <w:bCs w:val="0"/>
          <w:color w:val="auto"/>
          <w:sz w:val="24"/>
          <w:szCs w:val="20"/>
          <w:highlight w:val="none"/>
          <w:shd w:val="clear" w:color="auto" w:fill="auto"/>
          <w:lang w:eastAsia="zh-CN"/>
        </w:rPr>
        <w:t>采购代理机构</w:t>
      </w:r>
      <w:r>
        <w:rPr>
          <w:rFonts w:hint="eastAsia" w:ascii="宋体" w:hAnsi="宋体" w:eastAsia="宋体" w:cs="宋体"/>
          <w:b w:val="0"/>
          <w:bCs w:val="0"/>
          <w:color w:val="auto"/>
          <w:sz w:val="24"/>
          <w:szCs w:val="20"/>
          <w:highlight w:val="none"/>
          <w:shd w:val="clear" w:color="auto" w:fill="auto"/>
        </w:rPr>
        <w:t>应当随中标、</w:t>
      </w:r>
      <w:r>
        <w:rPr>
          <w:rFonts w:hint="eastAsia" w:ascii="宋体" w:hAnsi="宋体" w:eastAsia="宋体" w:cs="宋体"/>
          <w:b w:val="0"/>
          <w:bCs w:val="0"/>
          <w:color w:val="auto"/>
          <w:sz w:val="24"/>
          <w:szCs w:val="20"/>
          <w:highlight w:val="none"/>
          <w:shd w:val="clear" w:color="auto" w:fill="auto"/>
          <w:lang w:eastAsia="zh-CN"/>
        </w:rPr>
        <w:t>中标</w:t>
      </w:r>
      <w:r>
        <w:rPr>
          <w:rFonts w:hint="eastAsia" w:ascii="宋体" w:hAnsi="宋体" w:eastAsia="宋体" w:cs="宋体"/>
          <w:b w:val="0"/>
          <w:bCs w:val="0"/>
          <w:color w:val="auto"/>
          <w:sz w:val="24"/>
          <w:szCs w:val="20"/>
          <w:highlight w:val="none"/>
          <w:shd w:val="clear" w:color="auto" w:fill="auto"/>
        </w:rPr>
        <w:t>结果同时公告其《残疾人福利性单位声明函》，接受社会监督。</w:t>
      </w:r>
    </w:p>
    <w:p w14:paraId="6595A478">
      <w:pPr>
        <w:pStyle w:val="5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lang w:eastAsia="zh-CN"/>
        </w:rPr>
        <w:t>供应商</w:t>
      </w:r>
      <w:r>
        <w:rPr>
          <w:rFonts w:hint="eastAsia" w:ascii="宋体" w:hAnsi="宋体" w:eastAsia="宋体" w:cs="宋体"/>
          <w:b w:val="0"/>
          <w:bCs w:val="0"/>
          <w:color w:val="auto"/>
          <w:sz w:val="24"/>
          <w:szCs w:val="20"/>
          <w:highlight w:val="none"/>
          <w:shd w:val="clear" w:color="auto" w:fill="auto"/>
        </w:rPr>
        <w:t>提供的《残疾人福利性单位声明函》与事实不符的，依照《政府采购法》第七十七条第一款的规定追究法律责任。</w:t>
      </w:r>
    </w:p>
    <w:p w14:paraId="02DBDFAC">
      <w:pPr>
        <w:pStyle w:val="5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677AA08">
      <w:pPr>
        <w:pStyle w:val="5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四、</w:t>
      </w:r>
      <w:r>
        <w:rPr>
          <w:rFonts w:hint="eastAsia" w:ascii="宋体" w:hAnsi="宋体" w:eastAsia="宋体" w:cs="宋体"/>
          <w:b w:val="0"/>
          <w:bCs w:val="0"/>
          <w:color w:val="auto"/>
          <w:sz w:val="24"/>
          <w:szCs w:val="20"/>
          <w:highlight w:val="none"/>
          <w:shd w:val="clear" w:color="auto" w:fill="auto"/>
          <w:lang w:eastAsia="zh-CN"/>
        </w:rPr>
        <w:t>采购人</w:t>
      </w:r>
      <w:r>
        <w:rPr>
          <w:rFonts w:hint="eastAsia" w:ascii="宋体" w:hAnsi="宋体" w:eastAsia="宋体" w:cs="宋体"/>
          <w:b w:val="0"/>
          <w:bCs w:val="0"/>
          <w:color w:val="auto"/>
          <w:sz w:val="24"/>
          <w:szCs w:val="20"/>
          <w:highlight w:val="none"/>
          <w:shd w:val="clear" w:color="auto" w:fill="auto"/>
        </w:rPr>
        <w:t>采购</w:t>
      </w:r>
      <w:r>
        <w:rPr>
          <w:rFonts w:hint="eastAsia" w:ascii="宋体" w:hAnsi="宋体" w:eastAsia="宋体" w:cs="宋体"/>
          <w:b w:val="0"/>
          <w:bCs w:val="0"/>
          <w:color w:val="auto"/>
          <w:sz w:val="24"/>
          <w:szCs w:val="20"/>
          <w:highlight w:val="none"/>
          <w:shd w:val="clear" w:color="auto" w:fill="auto"/>
          <w:lang w:eastAsia="zh-CN"/>
        </w:rPr>
        <w:t>公开招标</w:t>
      </w:r>
      <w:r>
        <w:rPr>
          <w:rFonts w:hint="eastAsia" w:ascii="宋体" w:hAnsi="宋体" w:eastAsia="宋体" w:cs="宋体"/>
          <w:b w:val="0"/>
          <w:bCs w:val="0"/>
          <w:color w:val="auto"/>
          <w:sz w:val="24"/>
          <w:szCs w:val="20"/>
          <w:highlight w:val="none"/>
          <w:shd w:val="clear" w:color="auto" w:fill="auto"/>
        </w:rPr>
        <w:t>数额标准以上的货物或者服务，因落实促进残疾人就业政策的需要，依法履行有关报批程序后，可采用</w:t>
      </w:r>
      <w:r>
        <w:rPr>
          <w:rFonts w:hint="eastAsia" w:ascii="宋体" w:hAnsi="宋体" w:eastAsia="宋体" w:cs="宋体"/>
          <w:b w:val="0"/>
          <w:bCs w:val="0"/>
          <w:color w:val="auto"/>
          <w:sz w:val="24"/>
          <w:szCs w:val="20"/>
          <w:highlight w:val="none"/>
          <w:shd w:val="clear" w:color="auto" w:fill="auto"/>
          <w:lang w:eastAsia="zh-CN"/>
        </w:rPr>
        <w:t>公开招标</w:t>
      </w:r>
      <w:r>
        <w:rPr>
          <w:rFonts w:hint="eastAsia" w:ascii="宋体" w:hAnsi="宋体" w:eastAsia="宋体" w:cs="宋体"/>
          <w:b w:val="0"/>
          <w:bCs w:val="0"/>
          <w:color w:val="auto"/>
          <w:sz w:val="24"/>
          <w:szCs w:val="20"/>
          <w:highlight w:val="none"/>
          <w:shd w:val="clear" w:color="auto" w:fill="auto"/>
        </w:rPr>
        <w:t>以外的采购方式。</w:t>
      </w:r>
    </w:p>
    <w:p w14:paraId="3DDCF2E0">
      <w:pPr>
        <w:pStyle w:val="5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五、对于满足要求的残疾人福利性单位产品，集中采购机构可直接纳入协议供货或者定点采购范围。各地区建设的政府采购电子卖场、电子商城、网上超市等应当设立残疾人福利性单位产品专栏。鼓励</w:t>
      </w:r>
      <w:r>
        <w:rPr>
          <w:rFonts w:hint="eastAsia" w:ascii="宋体" w:hAnsi="宋体" w:eastAsia="宋体" w:cs="宋体"/>
          <w:b w:val="0"/>
          <w:bCs w:val="0"/>
          <w:color w:val="auto"/>
          <w:sz w:val="24"/>
          <w:szCs w:val="20"/>
          <w:highlight w:val="none"/>
          <w:shd w:val="clear" w:color="auto" w:fill="auto"/>
          <w:lang w:eastAsia="zh-CN"/>
        </w:rPr>
        <w:t>采购人</w:t>
      </w:r>
      <w:r>
        <w:rPr>
          <w:rFonts w:hint="eastAsia" w:ascii="宋体" w:hAnsi="宋体" w:eastAsia="宋体" w:cs="宋体"/>
          <w:b w:val="0"/>
          <w:bCs w:val="0"/>
          <w:color w:val="auto"/>
          <w:sz w:val="24"/>
          <w:szCs w:val="20"/>
          <w:highlight w:val="none"/>
          <w:shd w:val="clear" w:color="auto" w:fill="auto"/>
        </w:rPr>
        <w:t>优先选择残疾人福利性单位的产品。</w:t>
      </w:r>
    </w:p>
    <w:p w14:paraId="430CBE77">
      <w:pPr>
        <w:pStyle w:val="5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F3B857F">
      <w:pPr>
        <w:pStyle w:val="5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七、本通知自2017年10月</w:t>
      </w:r>
      <w:r>
        <w:rPr>
          <w:rFonts w:hint="eastAsia" w:ascii="宋体" w:hAnsi="宋体" w:eastAsia="宋体" w:cs="宋体"/>
          <w:b w:val="0"/>
          <w:bCs w:val="0"/>
          <w:color w:val="auto"/>
          <w:sz w:val="24"/>
          <w:szCs w:val="20"/>
          <w:highlight w:val="none"/>
          <w:shd w:val="clear" w:color="auto" w:fill="auto"/>
          <w:lang w:val="en-US" w:eastAsia="zh-CN"/>
        </w:rPr>
        <w:t>1</w:t>
      </w:r>
      <w:r>
        <w:rPr>
          <w:rFonts w:hint="eastAsia" w:ascii="宋体" w:hAnsi="宋体" w:eastAsia="宋体" w:cs="宋体"/>
          <w:b w:val="0"/>
          <w:bCs w:val="0"/>
          <w:color w:val="auto"/>
          <w:sz w:val="24"/>
          <w:szCs w:val="20"/>
          <w:highlight w:val="none"/>
          <w:shd w:val="clear" w:color="auto" w:fill="auto"/>
        </w:rPr>
        <w:t>日起执行。</w:t>
      </w:r>
    </w:p>
    <w:p w14:paraId="42CF4C02">
      <w:pPr>
        <w:pStyle w:val="52"/>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color w:val="auto"/>
          <w:sz w:val="24"/>
          <w:szCs w:val="20"/>
          <w:highlight w:val="none"/>
          <w:shd w:val="clear" w:color="auto" w:fill="auto"/>
        </w:rPr>
      </w:pPr>
    </w:p>
    <w:p w14:paraId="0FABF036">
      <w:pPr>
        <w:pStyle w:val="52"/>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财政部 民政部 中国残疾人联合会</w:t>
      </w:r>
    </w:p>
    <w:p w14:paraId="715C4A35">
      <w:pPr>
        <w:pStyle w:val="52"/>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color w:val="auto"/>
          <w:sz w:val="24"/>
          <w:szCs w:val="20"/>
          <w:highlight w:val="none"/>
          <w:shd w:val="clear" w:color="auto" w:fill="auto"/>
        </w:rPr>
      </w:pPr>
      <w:r>
        <w:rPr>
          <w:rFonts w:hint="eastAsia" w:ascii="宋体" w:hAnsi="宋体" w:eastAsia="宋体" w:cs="宋体"/>
          <w:b w:val="0"/>
          <w:bCs w:val="0"/>
          <w:color w:val="auto"/>
          <w:sz w:val="24"/>
          <w:szCs w:val="20"/>
          <w:highlight w:val="none"/>
          <w:shd w:val="clear" w:color="auto" w:fill="auto"/>
        </w:rPr>
        <w:t>2017年8月22日</w:t>
      </w:r>
    </w:p>
    <w:p w14:paraId="603BF0E0">
      <w:pPr>
        <w:rPr>
          <w:rFonts w:hint="eastAsia" w:ascii="宋体" w:hAnsi="宋体" w:eastAsia="宋体" w:cs="宋体"/>
          <w:color w:val="auto"/>
          <w:highlight w:val="none"/>
          <w:shd w:val="clear" w:color="auto" w:fill="auto"/>
          <w:lang w:val="en-US" w:eastAsia="zh-CN"/>
        </w:rPr>
      </w:pPr>
    </w:p>
    <w:sectPr>
      <w:footerReference r:id="rId4" w:type="default"/>
      <w:pgSz w:w="11906" w:h="16838"/>
      <w:pgMar w:top="1440" w:right="1440" w:bottom="1440" w:left="1440" w:header="850" w:footer="907"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8ACC0">
    <w:pPr>
      <w:pStyle w:val="19"/>
      <w:pBdr>
        <w:top w:val="single" w:color="auto" w:sz="4" w:space="0"/>
      </w:pBdr>
      <w:jc w:val="both"/>
      <w:rPr>
        <w:rFonts w:hint="eastAsia" w:ascii="仿宋" w:hAnsi="仿宋" w:eastAsia="仿宋" w:cs="仿宋"/>
        <w:b/>
        <w:bCs/>
        <w:lang w:val="en-US"/>
      </w:rPr>
    </w:pPr>
    <w:r>
      <w:rPr>
        <w:rFonts w:hint="eastAsia" w:ascii="仿宋" w:hAnsi="仿宋" w:eastAsia="仿宋" w:cs="仿宋"/>
        <w:b/>
        <w:bCs/>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A4645">
                          <w:pPr>
                            <w:pStyle w:val="19"/>
                            <w:rPr>
                              <w:rFonts w:hint="eastAsia" w:ascii="仿宋" w:hAnsi="仿宋" w:eastAsia="仿宋" w:cs="仿宋"/>
                              <w:b/>
                              <w:bCs/>
                              <w:lang w:eastAsia="zh-CN"/>
                            </w:rPr>
                          </w:pPr>
                          <w:r>
                            <w:rPr>
                              <w:rFonts w:hint="eastAsia" w:ascii="仿宋" w:hAnsi="仿宋" w:eastAsia="仿宋" w:cs="仿宋"/>
                              <w:b/>
                              <w:bCs/>
                              <w:lang w:eastAsia="zh-CN"/>
                            </w:rPr>
                            <w:fldChar w:fldCharType="begin"/>
                          </w:r>
                          <w:r>
                            <w:rPr>
                              <w:rFonts w:hint="eastAsia" w:ascii="仿宋" w:hAnsi="仿宋" w:eastAsia="仿宋" w:cs="仿宋"/>
                              <w:b/>
                              <w:bCs/>
                              <w:lang w:eastAsia="zh-CN"/>
                            </w:rPr>
                            <w:instrText xml:space="preserve"> PAGE  \* MERGEFORMAT </w:instrText>
                          </w:r>
                          <w:r>
                            <w:rPr>
                              <w:rFonts w:hint="eastAsia" w:ascii="仿宋" w:hAnsi="仿宋" w:eastAsia="仿宋" w:cs="仿宋"/>
                              <w:b/>
                              <w:bCs/>
                              <w:lang w:eastAsia="zh-CN"/>
                            </w:rPr>
                            <w:fldChar w:fldCharType="separate"/>
                          </w:r>
                          <w:r>
                            <w:rPr>
                              <w:rFonts w:hint="eastAsia" w:ascii="仿宋" w:hAnsi="仿宋" w:eastAsia="仿宋" w:cs="仿宋"/>
                              <w:b/>
                              <w:bCs/>
                              <w:lang w:eastAsia="zh-CN"/>
                            </w:rPr>
                            <w:t>1</w:t>
                          </w:r>
                          <w:r>
                            <w:rPr>
                              <w:rFonts w:hint="eastAsia" w:ascii="仿宋" w:hAnsi="仿宋" w:eastAsia="仿宋" w:cs="仿宋"/>
                              <w:b/>
                              <w:bCs/>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5A4645">
                    <w:pPr>
                      <w:pStyle w:val="19"/>
                      <w:rPr>
                        <w:rFonts w:hint="eastAsia" w:ascii="仿宋" w:hAnsi="仿宋" w:eastAsia="仿宋" w:cs="仿宋"/>
                        <w:b/>
                        <w:bCs/>
                        <w:lang w:eastAsia="zh-CN"/>
                      </w:rPr>
                    </w:pPr>
                    <w:r>
                      <w:rPr>
                        <w:rFonts w:hint="eastAsia" w:ascii="仿宋" w:hAnsi="仿宋" w:eastAsia="仿宋" w:cs="仿宋"/>
                        <w:b/>
                        <w:bCs/>
                        <w:lang w:eastAsia="zh-CN"/>
                      </w:rPr>
                      <w:fldChar w:fldCharType="begin"/>
                    </w:r>
                    <w:r>
                      <w:rPr>
                        <w:rFonts w:hint="eastAsia" w:ascii="仿宋" w:hAnsi="仿宋" w:eastAsia="仿宋" w:cs="仿宋"/>
                        <w:b/>
                        <w:bCs/>
                        <w:lang w:eastAsia="zh-CN"/>
                      </w:rPr>
                      <w:instrText xml:space="preserve"> PAGE  \* MERGEFORMAT </w:instrText>
                    </w:r>
                    <w:r>
                      <w:rPr>
                        <w:rFonts w:hint="eastAsia" w:ascii="仿宋" w:hAnsi="仿宋" w:eastAsia="仿宋" w:cs="仿宋"/>
                        <w:b/>
                        <w:bCs/>
                        <w:lang w:eastAsia="zh-CN"/>
                      </w:rPr>
                      <w:fldChar w:fldCharType="separate"/>
                    </w:r>
                    <w:r>
                      <w:rPr>
                        <w:rFonts w:hint="eastAsia" w:ascii="仿宋" w:hAnsi="仿宋" w:eastAsia="仿宋" w:cs="仿宋"/>
                        <w:b/>
                        <w:bCs/>
                        <w:lang w:eastAsia="zh-CN"/>
                      </w:rPr>
                      <w:t>1</w:t>
                    </w:r>
                    <w:r>
                      <w:rPr>
                        <w:rFonts w:hint="eastAsia" w:ascii="仿宋" w:hAnsi="仿宋" w:eastAsia="仿宋" w:cs="仿宋"/>
                        <w:b/>
                        <w:bCs/>
                        <w:lang w:eastAsia="zh-CN"/>
                      </w:rPr>
                      <w:fldChar w:fldCharType="end"/>
                    </w:r>
                  </w:p>
                </w:txbxContent>
              </v:textbox>
            </v:shape>
          </w:pict>
        </mc:Fallback>
      </mc:AlternateContent>
    </w:r>
    <w:r>
      <w:rPr>
        <w:rFonts w:hint="eastAsia" w:ascii="仿宋" w:hAnsi="仿宋" w:eastAsia="仿宋" w:cs="仿宋"/>
        <w:b/>
        <w:bCs/>
        <w:lang w:eastAsia="zh-CN"/>
      </w:rPr>
      <w:t>疆海工程项目管理有限公司</w:t>
    </w:r>
    <w:r>
      <w:rPr>
        <w:rFonts w:hint="eastAsia" w:ascii="仿宋" w:hAnsi="仿宋" w:eastAsia="仿宋" w:cs="仿宋"/>
        <w:b/>
        <w:bCs/>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57ABB">
    <w:pPr>
      <w:pStyle w:val="20"/>
      <w:pBdr>
        <w:bottom w:val="single" w:color="auto" w:sz="4" w:space="1"/>
      </w:pBdr>
      <w:jc w:val="right"/>
      <w:rPr>
        <w:rFonts w:hint="eastAsia" w:ascii="仿宋" w:hAnsi="仿宋" w:eastAsia="仿宋" w:cs="仿宋"/>
        <w:b/>
        <w:bCs/>
        <w:color w:val="auto"/>
        <w:sz w:val="18"/>
        <w:szCs w:val="18"/>
        <w:lang w:val="en-US" w:eastAsia="zh-CN"/>
      </w:rPr>
    </w:pPr>
    <w:r>
      <w:drawing>
        <wp:anchor distT="0" distB="0" distL="114300" distR="114300" simplePos="0" relativeHeight="251661312" behindDoc="0" locked="0" layoutInCell="1" allowOverlap="1">
          <wp:simplePos x="0" y="0"/>
          <wp:positionH relativeFrom="column">
            <wp:posOffset>-389890</wp:posOffset>
          </wp:positionH>
          <wp:positionV relativeFrom="paragraph">
            <wp:posOffset>-242570</wp:posOffset>
          </wp:positionV>
          <wp:extent cx="544195" cy="617855"/>
          <wp:effectExtent l="0" t="0" r="0" b="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clrChange>
                      <a:clrFrom>
                        <a:srgbClr val="FFFFFF">
                          <a:alpha val="100000"/>
                        </a:srgbClr>
                      </a:clrFrom>
                      <a:clrTo>
                        <a:srgbClr val="FFFFFF">
                          <a:alpha val="100000"/>
                          <a:alpha val="0"/>
                        </a:srgbClr>
                      </a:clrTo>
                    </a:clrChange>
                  </a:blip>
                  <a:stretch>
                    <a:fillRect/>
                  </a:stretch>
                </pic:blipFill>
                <pic:spPr>
                  <a:xfrm>
                    <a:off x="0" y="0"/>
                    <a:ext cx="544195" cy="617855"/>
                  </a:xfrm>
                  <a:prstGeom prst="rect">
                    <a:avLst/>
                  </a:prstGeom>
                  <a:noFill/>
                  <a:ln>
                    <a:noFill/>
                  </a:ln>
                </pic:spPr>
              </pic:pic>
            </a:graphicData>
          </a:graphic>
        </wp:anchor>
      </w:drawing>
    </w:r>
    <w:r>
      <w:rPr>
        <w:rFonts w:hint="eastAsia" w:ascii="仿宋" w:hAnsi="仿宋" w:eastAsia="仿宋" w:cs="仿宋"/>
        <w:b/>
        <w:bCs/>
        <w:color w:val="auto"/>
        <w:sz w:val="18"/>
        <w:szCs w:val="18"/>
        <w:lang w:val="en-US" w:eastAsia="zh-CN"/>
      </w:rPr>
      <w:t xml:space="preserve">                                                                      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YjdmZTVhMjYzZTUyZjY5MTVlN2U2ZGU3YzljNzIifQ=="/>
  </w:docVars>
  <w:rsids>
    <w:rsidRoot w:val="3B8F281C"/>
    <w:rsid w:val="001A4EEA"/>
    <w:rsid w:val="00603102"/>
    <w:rsid w:val="00FD5EA6"/>
    <w:rsid w:val="0114216C"/>
    <w:rsid w:val="016252F8"/>
    <w:rsid w:val="01C26D3F"/>
    <w:rsid w:val="01F51124"/>
    <w:rsid w:val="020F7E4B"/>
    <w:rsid w:val="030F1FEE"/>
    <w:rsid w:val="03353379"/>
    <w:rsid w:val="03DC59EC"/>
    <w:rsid w:val="03E21FF8"/>
    <w:rsid w:val="03F327F5"/>
    <w:rsid w:val="040B77C4"/>
    <w:rsid w:val="04203B6F"/>
    <w:rsid w:val="0454041D"/>
    <w:rsid w:val="046F1801"/>
    <w:rsid w:val="0484319C"/>
    <w:rsid w:val="04FA531B"/>
    <w:rsid w:val="053004C2"/>
    <w:rsid w:val="059E00BF"/>
    <w:rsid w:val="05A121F2"/>
    <w:rsid w:val="05F96C2A"/>
    <w:rsid w:val="0706025D"/>
    <w:rsid w:val="070C5F38"/>
    <w:rsid w:val="07127466"/>
    <w:rsid w:val="074516DC"/>
    <w:rsid w:val="07EB0A50"/>
    <w:rsid w:val="086F2A5D"/>
    <w:rsid w:val="08CA67E8"/>
    <w:rsid w:val="09D063F9"/>
    <w:rsid w:val="0A280FEC"/>
    <w:rsid w:val="0A5408D3"/>
    <w:rsid w:val="0AA149F5"/>
    <w:rsid w:val="0B0A0216"/>
    <w:rsid w:val="0B146BDB"/>
    <w:rsid w:val="0BA30CD5"/>
    <w:rsid w:val="0BD93C8E"/>
    <w:rsid w:val="0C2324A1"/>
    <w:rsid w:val="0C34365E"/>
    <w:rsid w:val="0C4A7131"/>
    <w:rsid w:val="0CD733D2"/>
    <w:rsid w:val="0D320FBC"/>
    <w:rsid w:val="0DA3008D"/>
    <w:rsid w:val="0DBF68FD"/>
    <w:rsid w:val="0E4F5248"/>
    <w:rsid w:val="0F794C6A"/>
    <w:rsid w:val="104200A6"/>
    <w:rsid w:val="10991428"/>
    <w:rsid w:val="10DC508D"/>
    <w:rsid w:val="113B75B8"/>
    <w:rsid w:val="115466D7"/>
    <w:rsid w:val="11882691"/>
    <w:rsid w:val="118F3FC0"/>
    <w:rsid w:val="11B75543"/>
    <w:rsid w:val="11D879C4"/>
    <w:rsid w:val="127B677B"/>
    <w:rsid w:val="13143180"/>
    <w:rsid w:val="13221FA3"/>
    <w:rsid w:val="1368615E"/>
    <w:rsid w:val="141370E9"/>
    <w:rsid w:val="14164CAC"/>
    <w:rsid w:val="149C2249"/>
    <w:rsid w:val="14F0392D"/>
    <w:rsid w:val="15507E19"/>
    <w:rsid w:val="15575E4F"/>
    <w:rsid w:val="162479A4"/>
    <w:rsid w:val="16F332F0"/>
    <w:rsid w:val="17054C1F"/>
    <w:rsid w:val="17B67543"/>
    <w:rsid w:val="17E12199"/>
    <w:rsid w:val="18A07083"/>
    <w:rsid w:val="18D76314"/>
    <w:rsid w:val="19475014"/>
    <w:rsid w:val="19F65E24"/>
    <w:rsid w:val="1A123BF5"/>
    <w:rsid w:val="1A29111C"/>
    <w:rsid w:val="1A3C254B"/>
    <w:rsid w:val="1AF630C6"/>
    <w:rsid w:val="1B25248C"/>
    <w:rsid w:val="1C262CD8"/>
    <w:rsid w:val="1C4308A2"/>
    <w:rsid w:val="1C5C6C65"/>
    <w:rsid w:val="1CDB5801"/>
    <w:rsid w:val="1D6E7A18"/>
    <w:rsid w:val="1D8E5DFB"/>
    <w:rsid w:val="1DD0602F"/>
    <w:rsid w:val="1DF47803"/>
    <w:rsid w:val="1E070012"/>
    <w:rsid w:val="1F464283"/>
    <w:rsid w:val="1F7A592B"/>
    <w:rsid w:val="1F7B62CF"/>
    <w:rsid w:val="1FF83AFA"/>
    <w:rsid w:val="200F31C4"/>
    <w:rsid w:val="209C4C11"/>
    <w:rsid w:val="20C932CD"/>
    <w:rsid w:val="20CC4C20"/>
    <w:rsid w:val="21042238"/>
    <w:rsid w:val="214900C9"/>
    <w:rsid w:val="217F4303"/>
    <w:rsid w:val="222321BF"/>
    <w:rsid w:val="225844D1"/>
    <w:rsid w:val="22E245EF"/>
    <w:rsid w:val="22EB68AA"/>
    <w:rsid w:val="23FC67D7"/>
    <w:rsid w:val="24384BA8"/>
    <w:rsid w:val="244C655C"/>
    <w:rsid w:val="24AF7273"/>
    <w:rsid w:val="24C23AAC"/>
    <w:rsid w:val="24EA3D7F"/>
    <w:rsid w:val="253F7C89"/>
    <w:rsid w:val="26380F82"/>
    <w:rsid w:val="26445A28"/>
    <w:rsid w:val="26486521"/>
    <w:rsid w:val="26791847"/>
    <w:rsid w:val="26E268FC"/>
    <w:rsid w:val="27336C8B"/>
    <w:rsid w:val="279B0B58"/>
    <w:rsid w:val="27E2526A"/>
    <w:rsid w:val="2805565A"/>
    <w:rsid w:val="280F32AF"/>
    <w:rsid w:val="28102369"/>
    <w:rsid w:val="283A7917"/>
    <w:rsid w:val="285B2F80"/>
    <w:rsid w:val="285D696E"/>
    <w:rsid w:val="28627B94"/>
    <w:rsid w:val="289004C0"/>
    <w:rsid w:val="29291AB7"/>
    <w:rsid w:val="29A42D19"/>
    <w:rsid w:val="29F179E6"/>
    <w:rsid w:val="2AE95213"/>
    <w:rsid w:val="2B425FBA"/>
    <w:rsid w:val="2B710DDE"/>
    <w:rsid w:val="2BE70376"/>
    <w:rsid w:val="2C8A7DC4"/>
    <w:rsid w:val="2CC36A6D"/>
    <w:rsid w:val="2CEB4EE3"/>
    <w:rsid w:val="2D5E4AE4"/>
    <w:rsid w:val="2E8D0EAE"/>
    <w:rsid w:val="2EC2656A"/>
    <w:rsid w:val="2EC96FA7"/>
    <w:rsid w:val="2EE63891"/>
    <w:rsid w:val="2EF73CF0"/>
    <w:rsid w:val="2F067EBB"/>
    <w:rsid w:val="2F336641"/>
    <w:rsid w:val="2FD0659B"/>
    <w:rsid w:val="2FD162F0"/>
    <w:rsid w:val="2FDA1D24"/>
    <w:rsid w:val="306121D8"/>
    <w:rsid w:val="316B2D33"/>
    <w:rsid w:val="31824B12"/>
    <w:rsid w:val="330F759A"/>
    <w:rsid w:val="333A5071"/>
    <w:rsid w:val="33E723F1"/>
    <w:rsid w:val="34AE721B"/>
    <w:rsid w:val="35470161"/>
    <w:rsid w:val="355F7EFA"/>
    <w:rsid w:val="35BD646F"/>
    <w:rsid w:val="35CF4276"/>
    <w:rsid w:val="36D476DC"/>
    <w:rsid w:val="36FB54FB"/>
    <w:rsid w:val="37566F32"/>
    <w:rsid w:val="37615995"/>
    <w:rsid w:val="37922E71"/>
    <w:rsid w:val="382F5543"/>
    <w:rsid w:val="384A4D2D"/>
    <w:rsid w:val="38553256"/>
    <w:rsid w:val="38985FD3"/>
    <w:rsid w:val="38A02D03"/>
    <w:rsid w:val="39423605"/>
    <w:rsid w:val="39565395"/>
    <w:rsid w:val="398C131C"/>
    <w:rsid w:val="39A33F23"/>
    <w:rsid w:val="39B4774C"/>
    <w:rsid w:val="39D0586A"/>
    <w:rsid w:val="39E23BDC"/>
    <w:rsid w:val="39ED1F78"/>
    <w:rsid w:val="39FC72D3"/>
    <w:rsid w:val="3A015495"/>
    <w:rsid w:val="3A695E95"/>
    <w:rsid w:val="3A711C60"/>
    <w:rsid w:val="3AC467B3"/>
    <w:rsid w:val="3AD3532A"/>
    <w:rsid w:val="3AF14DE4"/>
    <w:rsid w:val="3B803731"/>
    <w:rsid w:val="3B8F281C"/>
    <w:rsid w:val="3BE11917"/>
    <w:rsid w:val="3C3117CE"/>
    <w:rsid w:val="3C414509"/>
    <w:rsid w:val="3C8E2652"/>
    <w:rsid w:val="3E02748C"/>
    <w:rsid w:val="3E1D368D"/>
    <w:rsid w:val="3E7C009B"/>
    <w:rsid w:val="3EBF5DCB"/>
    <w:rsid w:val="3F0E09A9"/>
    <w:rsid w:val="3F3B20C6"/>
    <w:rsid w:val="3F597709"/>
    <w:rsid w:val="4044261B"/>
    <w:rsid w:val="40B01F51"/>
    <w:rsid w:val="41893AB1"/>
    <w:rsid w:val="41CA13A7"/>
    <w:rsid w:val="42E73C48"/>
    <w:rsid w:val="42ED4682"/>
    <w:rsid w:val="4376172C"/>
    <w:rsid w:val="43BA1A14"/>
    <w:rsid w:val="43D17A77"/>
    <w:rsid w:val="43D52CE0"/>
    <w:rsid w:val="44616D01"/>
    <w:rsid w:val="44AC0021"/>
    <w:rsid w:val="45271D77"/>
    <w:rsid w:val="455C2BCE"/>
    <w:rsid w:val="45704F02"/>
    <w:rsid w:val="45C629F2"/>
    <w:rsid w:val="46156723"/>
    <w:rsid w:val="466F4FFD"/>
    <w:rsid w:val="46D377FE"/>
    <w:rsid w:val="470A7712"/>
    <w:rsid w:val="4723365F"/>
    <w:rsid w:val="473A2DB4"/>
    <w:rsid w:val="474E7BFC"/>
    <w:rsid w:val="478E08E3"/>
    <w:rsid w:val="47AE578E"/>
    <w:rsid w:val="47B70F4B"/>
    <w:rsid w:val="47EB1724"/>
    <w:rsid w:val="4875466E"/>
    <w:rsid w:val="49601F31"/>
    <w:rsid w:val="49760F8C"/>
    <w:rsid w:val="49941310"/>
    <w:rsid w:val="49BD1F14"/>
    <w:rsid w:val="49E16137"/>
    <w:rsid w:val="4A0646EB"/>
    <w:rsid w:val="4A13407C"/>
    <w:rsid w:val="4A600E7A"/>
    <w:rsid w:val="4AC224D9"/>
    <w:rsid w:val="4AE7656F"/>
    <w:rsid w:val="4B493A02"/>
    <w:rsid w:val="4BA07DC7"/>
    <w:rsid w:val="4BA23FA5"/>
    <w:rsid w:val="4BDB52D3"/>
    <w:rsid w:val="4BDC1AED"/>
    <w:rsid w:val="4C3E4EC8"/>
    <w:rsid w:val="4C603A25"/>
    <w:rsid w:val="4CAF4A33"/>
    <w:rsid w:val="4D023970"/>
    <w:rsid w:val="4D284EFA"/>
    <w:rsid w:val="4DD94602"/>
    <w:rsid w:val="4DD966B6"/>
    <w:rsid w:val="4E2A0FFC"/>
    <w:rsid w:val="4EC324B5"/>
    <w:rsid w:val="4F5561E9"/>
    <w:rsid w:val="4F7E5DB4"/>
    <w:rsid w:val="50717D38"/>
    <w:rsid w:val="51487DC5"/>
    <w:rsid w:val="514D7F66"/>
    <w:rsid w:val="51BA020E"/>
    <w:rsid w:val="51DA7DAD"/>
    <w:rsid w:val="522B0B52"/>
    <w:rsid w:val="524174A5"/>
    <w:rsid w:val="524D67A2"/>
    <w:rsid w:val="52766469"/>
    <w:rsid w:val="532A19CD"/>
    <w:rsid w:val="545F0211"/>
    <w:rsid w:val="549D1987"/>
    <w:rsid w:val="54A42CE9"/>
    <w:rsid w:val="54D811B3"/>
    <w:rsid w:val="55194785"/>
    <w:rsid w:val="55B172E7"/>
    <w:rsid w:val="560F6885"/>
    <w:rsid w:val="56345078"/>
    <w:rsid w:val="564D1A41"/>
    <w:rsid w:val="56805661"/>
    <w:rsid w:val="572B1A33"/>
    <w:rsid w:val="57522927"/>
    <w:rsid w:val="57BF1CB1"/>
    <w:rsid w:val="582B4DE8"/>
    <w:rsid w:val="58E23D6A"/>
    <w:rsid w:val="59606777"/>
    <w:rsid w:val="59643147"/>
    <w:rsid w:val="59B316E6"/>
    <w:rsid w:val="5A67177E"/>
    <w:rsid w:val="5AD65248"/>
    <w:rsid w:val="5AF75CE5"/>
    <w:rsid w:val="5B1837B6"/>
    <w:rsid w:val="5B693CE2"/>
    <w:rsid w:val="5BAF1264"/>
    <w:rsid w:val="5D3A4814"/>
    <w:rsid w:val="5D5B060E"/>
    <w:rsid w:val="5D5C36C9"/>
    <w:rsid w:val="5DDB0469"/>
    <w:rsid w:val="5E7B069A"/>
    <w:rsid w:val="5E8D5147"/>
    <w:rsid w:val="5F1B3DD8"/>
    <w:rsid w:val="60223F0C"/>
    <w:rsid w:val="603934B3"/>
    <w:rsid w:val="609605F6"/>
    <w:rsid w:val="60A026D3"/>
    <w:rsid w:val="610656B2"/>
    <w:rsid w:val="6115071C"/>
    <w:rsid w:val="6263388D"/>
    <w:rsid w:val="62E877AB"/>
    <w:rsid w:val="632E1902"/>
    <w:rsid w:val="63320956"/>
    <w:rsid w:val="633B14FB"/>
    <w:rsid w:val="639D07A9"/>
    <w:rsid w:val="65EB4168"/>
    <w:rsid w:val="66763CCF"/>
    <w:rsid w:val="6678480C"/>
    <w:rsid w:val="6742151D"/>
    <w:rsid w:val="67511FB9"/>
    <w:rsid w:val="67691EA6"/>
    <w:rsid w:val="67CB7F2F"/>
    <w:rsid w:val="680306CA"/>
    <w:rsid w:val="682E05F6"/>
    <w:rsid w:val="68630FAC"/>
    <w:rsid w:val="68683B66"/>
    <w:rsid w:val="68806433"/>
    <w:rsid w:val="68927E6F"/>
    <w:rsid w:val="698E647C"/>
    <w:rsid w:val="6A303637"/>
    <w:rsid w:val="6A526269"/>
    <w:rsid w:val="6A553D61"/>
    <w:rsid w:val="6A5D17D1"/>
    <w:rsid w:val="6A88401D"/>
    <w:rsid w:val="6B052DC5"/>
    <w:rsid w:val="6B383ED3"/>
    <w:rsid w:val="6B6A1593"/>
    <w:rsid w:val="6B8754D9"/>
    <w:rsid w:val="6BDE4EBB"/>
    <w:rsid w:val="6BE04BE9"/>
    <w:rsid w:val="6BF55D72"/>
    <w:rsid w:val="6C291B30"/>
    <w:rsid w:val="6CFB5691"/>
    <w:rsid w:val="6D126C64"/>
    <w:rsid w:val="6D535020"/>
    <w:rsid w:val="6D813397"/>
    <w:rsid w:val="6E1B0978"/>
    <w:rsid w:val="6E8F290F"/>
    <w:rsid w:val="6EA345A5"/>
    <w:rsid w:val="6EBA5BC5"/>
    <w:rsid w:val="6EE176E7"/>
    <w:rsid w:val="6F0F3EBB"/>
    <w:rsid w:val="6FEC5684"/>
    <w:rsid w:val="7051447E"/>
    <w:rsid w:val="70F657AC"/>
    <w:rsid w:val="715174EB"/>
    <w:rsid w:val="71730F49"/>
    <w:rsid w:val="71CA5281"/>
    <w:rsid w:val="71E55556"/>
    <w:rsid w:val="72746F06"/>
    <w:rsid w:val="72AA720A"/>
    <w:rsid w:val="73216AEF"/>
    <w:rsid w:val="735D759D"/>
    <w:rsid w:val="736B7A46"/>
    <w:rsid w:val="7430074C"/>
    <w:rsid w:val="7482753F"/>
    <w:rsid w:val="74BD1FBE"/>
    <w:rsid w:val="752C4F4C"/>
    <w:rsid w:val="755B328D"/>
    <w:rsid w:val="756A1D6D"/>
    <w:rsid w:val="757006F1"/>
    <w:rsid w:val="75AB2F9D"/>
    <w:rsid w:val="760F67F7"/>
    <w:rsid w:val="7676684B"/>
    <w:rsid w:val="76874AC8"/>
    <w:rsid w:val="76884447"/>
    <w:rsid w:val="769B2CC1"/>
    <w:rsid w:val="76A44B2F"/>
    <w:rsid w:val="76B751BF"/>
    <w:rsid w:val="770853DD"/>
    <w:rsid w:val="7747515C"/>
    <w:rsid w:val="776B2153"/>
    <w:rsid w:val="77D900B0"/>
    <w:rsid w:val="77EE3487"/>
    <w:rsid w:val="782C5443"/>
    <w:rsid w:val="7908698F"/>
    <w:rsid w:val="79566C98"/>
    <w:rsid w:val="795D275F"/>
    <w:rsid w:val="79D57B8C"/>
    <w:rsid w:val="7A1976CE"/>
    <w:rsid w:val="7A3A71A7"/>
    <w:rsid w:val="7A656050"/>
    <w:rsid w:val="7A9E1E05"/>
    <w:rsid w:val="7A9F695B"/>
    <w:rsid w:val="7C1C247A"/>
    <w:rsid w:val="7C7E3D1E"/>
    <w:rsid w:val="7C8F674A"/>
    <w:rsid w:val="7D0A555B"/>
    <w:rsid w:val="7D3354C1"/>
    <w:rsid w:val="7D9151FE"/>
    <w:rsid w:val="7DA7762A"/>
    <w:rsid w:val="7DDD58B2"/>
    <w:rsid w:val="7E426CAF"/>
    <w:rsid w:val="7E90644E"/>
    <w:rsid w:val="7ED1317E"/>
    <w:rsid w:val="7EE744C4"/>
    <w:rsid w:val="7F315A30"/>
    <w:rsid w:val="7FAE2B47"/>
    <w:rsid w:val="7FC77245"/>
    <w:rsid w:val="7FDC3543"/>
    <w:rsid w:val="7FDD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name="heading 3"/>
    <w:lsdException w:qFormat="1" w:uiPriority="0" w:name="heading 4"/>
    <w:lsdException w:qFormat="1" w:unhideWhenUsed="0" w:uiPriority="1"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qFormat="1" w:uiPriority="99"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44"/>
      <w:lang w:val="en-US" w:eastAsia="zh-CN"/>
    </w:rPr>
  </w:style>
  <w:style w:type="paragraph" w:styleId="3">
    <w:name w:val="heading 2"/>
    <w:basedOn w:val="1"/>
    <w:next w:val="1"/>
    <w:unhideWhenUsed/>
    <w:qFormat/>
    <w:uiPriority w:val="99"/>
    <w:pPr>
      <w:keepNext/>
      <w:keepLines/>
      <w:spacing w:before="260" w:after="260" w:line="413" w:lineRule="auto"/>
      <w:outlineLvl w:val="1"/>
    </w:pPr>
    <w:rPr>
      <w:rFonts w:hint="eastAsia"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5"/>
    <w:basedOn w:val="1"/>
    <w:next w:val="1"/>
    <w:qFormat/>
    <w:uiPriority w:val="1"/>
    <w:pPr>
      <w:ind w:left="2276"/>
      <w:outlineLvl w:val="5"/>
    </w:pPr>
    <w:rPr>
      <w:rFonts w:ascii="宋体" w:hAnsi="宋体" w:eastAsia="宋体" w:cs="宋体"/>
      <w:sz w:val="28"/>
      <w:szCs w:val="28"/>
      <w:lang w:val="zh-CN" w:eastAsia="zh-CN" w:bidi="zh-CN"/>
    </w:rPr>
  </w:style>
  <w:style w:type="paragraph" w:styleId="6">
    <w:name w:val="heading 6"/>
    <w:basedOn w:val="1"/>
    <w:next w:val="1"/>
    <w:qFormat/>
    <w:uiPriority w:val="99"/>
    <w:pPr>
      <w:ind w:left="212"/>
      <w:outlineLvl w:val="5"/>
    </w:pPr>
    <w:rPr>
      <w:b/>
      <w:bCs/>
      <w:sz w:val="21"/>
      <w:szCs w:val="21"/>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List 3"/>
    <w:basedOn w:val="1"/>
    <w:unhideWhenUsed/>
    <w:qFormat/>
    <w:uiPriority w:val="99"/>
    <w:pPr>
      <w:ind w:left="100" w:leftChars="400" w:hanging="200" w:hangingChars="200"/>
    </w:pPr>
    <w:rPr>
      <w:rFonts w:hint="eastAsia"/>
      <w:sz w:val="24"/>
    </w:rPr>
  </w:style>
  <w:style w:type="paragraph" w:styleId="8">
    <w:name w:val="Normal Indent"/>
    <w:basedOn w:val="1"/>
    <w:qFormat/>
    <w:uiPriority w:val="0"/>
    <w:pPr>
      <w:spacing w:line="360" w:lineRule="auto"/>
    </w:pPr>
    <w:rPr>
      <w:sz w:val="24"/>
      <w:szCs w:val="22"/>
    </w:rPr>
  </w:style>
  <w:style w:type="paragraph" w:styleId="9">
    <w:name w:val="Body Text"/>
    <w:basedOn w:val="1"/>
    <w:next w:val="10"/>
    <w:qFormat/>
    <w:uiPriority w:val="0"/>
    <w:pPr>
      <w:jc w:val="center"/>
    </w:pPr>
    <w:rPr>
      <w:rFonts w:ascii="楷体_GB2312" w:eastAsia="楷体_GB2312"/>
      <w:b/>
      <w:sz w:val="24"/>
    </w:rPr>
  </w:style>
  <w:style w:type="paragraph" w:styleId="10">
    <w:name w:val="Body Text First Indent"/>
    <w:basedOn w:val="9"/>
    <w:next w:val="11"/>
    <w:semiHidden/>
    <w:unhideWhenUsed/>
    <w:qFormat/>
    <w:uiPriority w:val="0"/>
    <w:pPr>
      <w:ind w:firstLine="420" w:firstLineChars="100"/>
    </w:pPr>
  </w:style>
  <w:style w:type="paragraph" w:styleId="11">
    <w:name w:val="Body Text First Indent 2"/>
    <w:basedOn w:val="12"/>
    <w:next w:val="10"/>
    <w:qFormat/>
    <w:uiPriority w:val="0"/>
    <w:pPr>
      <w:ind w:firstLine="420" w:firstLineChars="200"/>
    </w:pPr>
  </w:style>
  <w:style w:type="paragraph" w:styleId="12">
    <w:name w:val="Body Text Indent"/>
    <w:basedOn w:val="1"/>
    <w:next w:val="1"/>
    <w:unhideWhenUsed/>
    <w:qFormat/>
    <w:uiPriority w:val="99"/>
    <w:pPr>
      <w:spacing w:line="500" w:lineRule="exact"/>
      <w:ind w:left="1588" w:leftChars="832" w:firstLine="433" w:firstLineChars="196"/>
    </w:pPr>
    <w:rPr>
      <w:rFonts w:hint="eastAsia"/>
      <w:sz w:val="24"/>
    </w:rPr>
  </w:style>
  <w:style w:type="paragraph" w:styleId="13">
    <w:name w:val="List 2"/>
    <w:basedOn w:val="1"/>
    <w:autoRedefine/>
    <w:unhideWhenUsed/>
    <w:qFormat/>
    <w:uiPriority w:val="99"/>
    <w:pPr>
      <w:ind w:left="100" w:leftChars="200" w:hanging="200" w:hangingChars="200"/>
    </w:pPr>
    <w:rPr>
      <w:rFonts w:hint="eastAsia"/>
      <w:sz w:val="24"/>
    </w:rPr>
  </w:style>
  <w:style w:type="paragraph" w:styleId="14">
    <w:name w:val="index 4"/>
    <w:basedOn w:val="1"/>
    <w:next w:val="1"/>
    <w:unhideWhenUsed/>
    <w:qFormat/>
    <w:uiPriority w:val="99"/>
    <w:pPr>
      <w:ind w:left="600" w:leftChars="600"/>
    </w:pPr>
    <w:rPr>
      <w:rFonts w:hint="eastAsia"/>
      <w:sz w:val="24"/>
    </w:rPr>
  </w:style>
  <w:style w:type="paragraph" w:styleId="15">
    <w:name w:val="toc 3"/>
    <w:basedOn w:val="1"/>
    <w:next w:val="1"/>
    <w:qFormat/>
    <w:uiPriority w:val="0"/>
    <w:pPr>
      <w:ind w:left="840" w:leftChars="400"/>
    </w:pPr>
  </w:style>
  <w:style w:type="paragraph" w:styleId="16">
    <w:name w:val="Plain Text"/>
    <w:basedOn w:val="1"/>
    <w:qFormat/>
    <w:uiPriority w:val="0"/>
    <w:pPr>
      <w:ind w:firstLine="560" w:firstLineChars="200"/>
    </w:pPr>
  </w:style>
  <w:style w:type="paragraph" w:styleId="17">
    <w:name w:val="Date"/>
    <w:basedOn w:val="1"/>
    <w:next w:val="1"/>
    <w:qFormat/>
    <w:uiPriority w:val="0"/>
    <w:rPr>
      <w:rFonts w:ascii="Arial" w:hAnsi="Arial" w:eastAsia="仿宋_GB2312" w:cs="Arial"/>
      <w:sz w:val="32"/>
    </w:rPr>
  </w:style>
  <w:style w:type="paragraph" w:styleId="18">
    <w:name w:val="Body Text Indent 2"/>
    <w:basedOn w:val="1"/>
    <w:unhideWhenUsed/>
    <w:qFormat/>
    <w:uiPriority w:val="99"/>
    <w:pPr>
      <w:spacing w:line="500" w:lineRule="exact"/>
      <w:ind w:firstLine="442" w:firstLineChars="200"/>
    </w:pPr>
    <w:rPr>
      <w:rFonts w:hint="eastAsia"/>
      <w:sz w:val="24"/>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List"/>
    <w:basedOn w:val="1"/>
    <w:qFormat/>
    <w:uiPriority w:val="0"/>
    <w:pPr>
      <w:ind w:left="200" w:hanging="200" w:hangingChars="200"/>
    </w:pPr>
  </w:style>
  <w:style w:type="paragraph" w:styleId="23">
    <w:name w:val="Body Text Indent 3"/>
    <w:basedOn w:val="1"/>
    <w:qFormat/>
    <w:uiPriority w:val="0"/>
    <w:pPr>
      <w:spacing w:before="60" w:beforeLines="0" w:beforeAutospacing="0" w:after="60" w:afterLines="0" w:afterAutospacing="0"/>
      <w:ind w:firstLine="480" w:firstLineChars="200"/>
    </w:pPr>
    <w:rPr>
      <w:sz w:val="24"/>
    </w:rPr>
  </w:style>
  <w:style w:type="paragraph" w:styleId="24">
    <w:name w:val="toc 2"/>
    <w:basedOn w:val="1"/>
    <w:next w:val="1"/>
    <w:qFormat/>
    <w:uiPriority w:val="0"/>
    <w:pPr>
      <w:ind w:left="420" w:leftChars="200"/>
    </w:pPr>
  </w:style>
  <w:style w:type="paragraph" w:styleId="25">
    <w:name w:val="Body Text 2"/>
    <w:basedOn w:val="1"/>
    <w:qFormat/>
    <w:uiPriority w:val="0"/>
    <w:pPr>
      <w:spacing w:line="440" w:lineRule="exact"/>
    </w:pPr>
    <w:rPr>
      <w:sz w:val="24"/>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style>
  <w:style w:type="character" w:styleId="31">
    <w:name w:val="page number"/>
    <w:basedOn w:val="29"/>
    <w:qFormat/>
    <w:uiPriority w:val="0"/>
  </w:style>
  <w:style w:type="character" w:styleId="32">
    <w:name w:val="FollowedHyperlink"/>
    <w:basedOn w:val="29"/>
    <w:autoRedefine/>
    <w:qFormat/>
    <w:uiPriority w:val="0"/>
    <w:rPr>
      <w:rFonts w:hint="eastAsia" w:ascii="微软雅黑" w:hAnsi="微软雅黑" w:eastAsia="微软雅黑" w:cs="微软雅黑"/>
      <w:color w:val="02396F"/>
      <w:u w:val="single"/>
    </w:rPr>
  </w:style>
  <w:style w:type="character" w:styleId="33">
    <w:name w:val="Emphasis"/>
    <w:basedOn w:val="29"/>
    <w:autoRedefine/>
    <w:qFormat/>
    <w:uiPriority w:val="0"/>
  </w:style>
  <w:style w:type="character" w:styleId="34">
    <w:name w:val="HTML Definition"/>
    <w:basedOn w:val="29"/>
    <w:autoRedefine/>
    <w:qFormat/>
    <w:uiPriority w:val="0"/>
  </w:style>
  <w:style w:type="character" w:styleId="35">
    <w:name w:val="HTML Typewriter"/>
    <w:basedOn w:val="29"/>
    <w:autoRedefine/>
    <w:qFormat/>
    <w:uiPriority w:val="0"/>
    <w:rPr>
      <w:rFonts w:ascii="monospace" w:hAnsi="monospace" w:eastAsia="monospace" w:cs="monospace"/>
      <w:sz w:val="20"/>
    </w:rPr>
  </w:style>
  <w:style w:type="character" w:styleId="36">
    <w:name w:val="HTML Acronym"/>
    <w:basedOn w:val="29"/>
    <w:autoRedefine/>
    <w:qFormat/>
    <w:uiPriority w:val="0"/>
  </w:style>
  <w:style w:type="character" w:styleId="37">
    <w:name w:val="HTML Variable"/>
    <w:basedOn w:val="29"/>
    <w:qFormat/>
    <w:uiPriority w:val="0"/>
  </w:style>
  <w:style w:type="character" w:styleId="38">
    <w:name w:val="Hyperlink"/>
    <w:basedOn w:val="29"/>
    <w:autoRedefine/>
    <w:qFormat/>
    <w:uiPriority w:val="99"/>
    <w:rPr>
      <w:color w:val="0000FF"/>
      <w:u w:val="single"/>
    </w:rPr>
  </w:style>
  <w:style w:type="character" w:styleId="39">
    <w:name w:val="HTML Code"/>
    <w:basedOn w:val="29"/>
    <w:autoRedefine/>
    <w:qFormat/>
    <w:uiPriority w:val="0"/>
    <w:rPr>
      <w:rFonts w:hint="default" w:ascii="monospace" w:hAnsi="monospace" w:eastAsia="monospace" w:cs="monospace"/>
      <w:sz w:val="20"/>
    </w:rPr>
  </w:style>
  <w:style w:type="character" w:styleId="40">
    <w:name w:val="annotation reference"/>
    <w:autoRedefine/>
    <w:qFormat/>
    <w:uiPriority w:val="0"/>
    <w:rPr>
      <w:sz w:val="21"/>
      <w:szCs w:val="21"/>
    </w:rPr>
  </w:style>
  <w:style w:type="character" w:styleId="41">
    <w:name w:val="HTML Cite"/>
    <w:basedOn w:val="29"/>
    <w:autoRedefine/>
    <w:qFormat/>
    <w:uiPriority w:val="0"/>
  </w:style>
  <w:style w:type="character" w:styleId="42">
    <w:name w:val="HTML Keyboard"/>
    <w:basedOn w:val="29"/>
    <w:autoRedefine/>
    <w:qFormat/>
    <w:uiPriority w:val="0"/>
    <w:rPr>
      <w:rFonts w:hint="default" w:ascii="monospace" w:hAnsi="monospace" w:eastAsia="monospace" w:cs="monospace"/>
      <w:sz w:val="20"/>
    </w:rPr>
  </w:style>
  <w:style w:type="character" w:styleId="43">
    <w:name w:val="HTML Sample"/>
    <w:basedOn w:val="29"/>
    <w:qFormat/>
    <w:uiPriority w:val="0"/>
    <w:rPr>
      <w:rFonts w:hint="default" w:ascii="monospace" w:hAnsi="monospace" w:eastAsia="monospace" w:cs="monospace"/>
    </w:rPr>
  </w:style>
  <w:style w:type="paragraph" w:customStyle="1" w:styleId="44">
    <w:name w:val="首行缩进"/>
    <w:basedOn w:val="45"/>
    <w:next w:val="1"/>
    <w:autoRedefine/>
    <w:qFormat/>
    <w:uiPriority w:val="0"/>
    <w:pPr>
      <w:ind w:firstLine="480" w:firstLineChars="200"/>
    </w:pPr>
    <w:rPr>
      <w:szCs w:val="24"/>
      <w:lang w:val="zh-CN"/>
    </w:rPr>
  </w:style>
  <w:style w:type="paragraph" w:customStyle="1" w:styleId="45">
    <w:name w:val="正文 New New New New New New"/>
    <w:next w:val="44"/>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样式 样式 左侧:  2 字符 + 左侧:  0.85 厘米 首行缩进:  2 字符1"/>
    <w:basedOn w:val="1"/>
    <w:autoRedefine/>
    <w:qFormat/>
    <w:uiPriority w:val="0"/>
    <w:pPr>
      <w:ind w:left="482" w:firstLine="200" w:firstLineChars="200"/>
    </w:pPr>
    <w:rPr>
      <w:rFonts w:ascii="Times New Roman" w:hAnsi="Times New Roman" w:eastAsia="宋体" w:cs="宋体"/>
      <w:szCs w:val="20"/>
    </w:rPr>
  </w:style>
  <w:style w:type="paragraph" w:customStyle="1" w:styleId="47">
    <w:name w:val="正文文本 (4)"/>
    <w:basedOn w:val="1"/>
    <w:link w:val="49"/>
    <w:autoRedefine/>
    <w:unhideWhenUsed/>
    <w:qFormat/>
    <w:uiPriority w:val="99"/>
    <w:pPr>
      <w:shd w:val="clear" w:color="auto" w:fill="FFFFFF"/>
      <w:spacing w:after="540" w:line="240" w:lineRule="atLeast"/>
    </w:pPr>
    <w:rPr>
      <w:rFonts w:hint="eastAsia" w:ascii="MingLiU" w:eastAsia="MingLiU"/>
      <w:spacing w:val="10"/>
      <w:sz w:val="26"/>
      <w:lang w:val="en-US" w:eastAsia="zh-CN"/>
    </w:rPr>
  </w:style>
  <w:style w:type="character" w:customStyle="1" w:styleId="48">
    <w:name w:val="正文文本 (4) + 间距 7 pt"/>
    <w:basedOn w:val="49"/>
    <w:unhideWhenUsed/>
    <w:qFormat/>
    <w:uiPriority w:val="99"/>
    <w:rPr>
      <w:rFonts w:hint="eastAsia"/>
      <w:spacing w:val="150"/>
      <w:sz w:val="26"/>
    </w:rPr>
  </w:style>
  <w:style w:type="character" w:customStyle="1" w:styleId="49">
    <w:name w:val="正文文本 (4)_"/>
    <w:basedOn w:val="29"/>
    <w:link w:val="47"/>
    <w:unhideWhenUsed/>
    <w:qFormat/>
    <w:locked/>
    <w:uiPriority w:val="99"/>
    <w:rPr>
      <w:rFonts w:hint="eastAsia" w:ascii="MingLiU" w:eastAsia="MingLiU"/>
      <w:spacing w:val="10"/>
      <w:sz w:val="26"/>
      <w:lang w:val="en-US" w:eastAsia="zh-CN"/>
    </w:rPr>
  </w:style>
  <w:style w:type="paragraph" w:customStyle="1" w:styleId="50">
    <w:name w:val="Blockquote"/>
    <w:basedOn w:val="1"/>
    <w:autoRedefine/>
    <w:qFormat/>
    <w:uiPriority w:val="0"/>
    <w:pPr>
      <w:autoSpaceDE w:val="0"/>
      <w:autoSpaceDN w:val="0"/>
      <w:adjustRightInd w:val="0"/>
      <w:spacing w:before="100" w:beforeLines="0" w:after="100" w:afterLines="0"/>
      <w:ind w:left="360" w:right="360"/>
      <w:jc w:val="left"/>
    </w:pPr>
    <w:rPr>
      <w:kern w:val="0"/>
      <w:sz w:val="24"/>
    </w:rPr>
  </w:style>
  <w:style w:type="paragraph" w:customStyle="1" w:styleId="51">
    <w:name w:val="列出段落1"/>
    <w:basedOn w:val="1"/>
    <w:autoRedefine/>
    <w:qFormat/>
    <w:uiPriority w:val="0"/>
    <w:pPr>
      <w:ind w:firstLine="420" w:firstLineChars="200"/>
    </w:pPr>
    <w:rPr>
      <w:szCs w:val="22"/>
    </w:rPr>
  </w:style>
  <w:style w:type="paragraph" w:customStyle="1" w:styleId="52">
    <w:name w:val="样式 首行缩进:  2 字符"/>
    <w:basedOn w:val="1"/>
    <w:autoRedefine/>
    <w:qFormat/>
    <w:uiPriority w:val="99"/>
    <w:pPr>
      <w:ind w:firstLine="560"/>
    </w:pPr>
    <w:rPr>
      <w:rFonts w:eastAsia="仿宋_GB2312" w:cs="宋体"/>
      <w:sz w:val="24"/>
      <w:szCs w:val="20"/>
    </w:rPr>
  </w:style>
  <w:style w:type="character" w:customStyle="1" w:styleId="53">
    <w:name w:val="redfilefwwh"/>
    <w:basedOn w:val="29"/>
    <w:autoRedefine/>
    <w:qFormat/>
    <w:uiPriority w:val="0"/>
    <w:rPr>
      <w:color w:val="BA2636"/>
      <w:sz w:val="18"/>
      <w:szCs w:val="18"/>
    </w:rPr>
  </w:style>
  <w:style w:type="character" w:customStyle="1" w:styleId="54">
    <w:name w:val="cfdate"/>
    <w:basedOn w:val="29"/>
    <w:autoRedefine/>
    <w:qFormat/>
    <w:uiPriority w:val="0"/>
    <w:rPr>
      <w:color w:val="333333"/>
      <w:sz w:val="18"/>
      <w:szCs w:val="18"/>
    </w:rPr>
  </w:style>
  <w:style w:type="character" w:customStyle="1" w:styleId="55">
    <w:name w:val="displayarti"/>
    <w:basedOn w:val="29"/>
    <w:autoRedefine/>
    <w:qFormat/>
    <w:uiPriority w:val="0"/>
    <w:rPr>
      <w:color w:val="FFFFFF"/>
      <w:shd w:val="clear" w:fill="A00000"/>
    </w:rPr>
  </w:style>
  <w:style w:type="character" w:customStyle="1" w:styleId="56">
    <w:name w:val="redfilenumber"/>
    <w:basedOn w:val="29"/>
    <w:autoRedefine/>
    <w:qFormat/>
    <w:uiPriority w:val="0"/>
    <w:rPr>
      <w:color w:val="BA2636"/>
      <w:sz w:val="18"/>
      <w:szCs w:val="18"/>
    </w:rPr>
  </w:style>
  <w:style w:type="character" w:customStyle="1" w:styleId="57">
    <w:name w:val="gjfg"/>
    <w:basedOn w:val="29"/>
    <w:autoRedefine/>
    <w:qFormat/>
    <w:uiPriority w:val="0"/>
  </w:style>
  <w:style w:type="character" w:customStyle="1" w:styleId="58">
    <w:name w:val="qxdate"/>
    <w:basedOn w:val="29"/>
    <w:autoRedefine/>
    <w:qFormat/>
    <w:uiPriority w:val="0"/>
    <w:rPr>
      <w:color w:val="333333"/>
      <w:sz w:val="18"/>
      <w:szCs w:val="18"/>
    </w:rPr>
  </w:style>
  <w:style w:type="paragraph" w:customStyle="1" w:styleId="59">
    <w:name w:val="Default"/>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 w:type="paragraph" w:customStyle="1" w:styleId="60">
    <w:name w:val="无间隔1"/>
    <w:qFormat/>
    <w:uiPriority w:val="0"/>
    <w:pPr>
      <w:widowControl w:val="0"/>
      <w:jc w:val="both"/>
    </w:pPr>
    <w:rPr>
      <w:rFonts w:ascii="Times New Roman" w:hAnsi="Times New Roman" w:eastAsia="Times New Roman" w:cs="黑体"/>
      <w:kern w:val="2"/>
      <w:sz w:val="21"/>
      <w:szCs w:val="22"/>
      <w:lang w:val="en-US" w:eastAsia="zh-CN" w:bidi="ar-SA"/>
    </w:rPr>
  </w:style>
  <w:style w:type="paragraph" w:customStyle="1" w:styleId="61">
    <w:name w:val="_Style 37"/>
    <w:basedOn w:val="1"/>
    <w:next w:val="62"/>
    <w:qFormat/>
    <w:uiPriority w:val="99"/>
    <w:pPr>
      <w:autoSpaceDE/>
      <w:autoSpaceDN/>
      <w:ind w:firstLine="420" w:firstLineChars="200"/>
      <w:jc w:val="both"/>
    </w:pPr>
    <w:rPr>
      <w:rFonts w:ascii="Calibri" w:hAnsi="Calibri" w:cs="Times New Roman"/>
      <w:kern w:val="2"/>
      <w:sz w:val="21"/>
      <w:lang w:val="en-US"/>
    </w:rPr>
  </w:style>
  <w:style w:type="paragraph" w:styleId="62">
    <w:name w:val="List Paragraph"/>
    <w:basedOn w:val="1"/>
    <w:qFormat/>
    <w:uiPriority w:val="99"/>
    <w:pPr>
      <w:ind w:left="212" w:hanging="529"/>
    </w:pPr>
  </w:style>
  <w:style w:type="paragraph" w:customStyle="1" w:styleId="63">
    <w:name w:val="Indent Normal"/>
    <w:basedOn w:val="1"/>
    <w:qFormat/>
    <w:uiPriority w:val="0"/>
    <w:pPr>
      <w:ind w:firstLine="150" w:firstLineChars="150"/>
    </w:pPr>
    <w:rPr>
      <w:sz w:val="24"/>
    </w:rPr>
  </w:style>
  <w:style w:type="paragraph" w:customStyle="1" w:styleId="64">
    <w:name w:val="1"/>
    <w:basedOn w:val="1"/>
    <w:qFormat/>
    <w:uiPriority w:val="0"/>
    <w:pPr>
      <w:ind w:firstLine="0" w:firstLineChars="0"/>
    </w:pPr>
  </w:style>
  <w:style w:type="paragraph" w:customStyle="1" w:styleId="65">
    <w:name w:val="Table Paragraph"/>
    <w:basedOn w:val="1"/>
    <w:qFormat/>
    <w:uiPriority w:val="1"/>
    <w:rPr>
      <w:rFonts w:ascii="宋体" w:hAnsi="宋体" w:eastAsia="宋体" w:cs="宋体"/>
      <w:lang w:val="zh-CN" w:eastAsia="zh-CN" w:bidi="zh-CN"/>
    </w:rPr>
  </w:style>
  <w:style w:type="character" w:customStyle="1" w:styleId="66">
    <w:name w:val="layui-layer-tabnow"/>
    <w:basedOn w:val="29"/>
    <w:qFormat/>
    <w:uiPriority w:val="0"/>
    <w:rPr>
      <w:bdr w:val="single" w:color="CCCCCC" w:sz="6" w:space="0"/>
      <w:shd w:val="clear" w:fill="FFFFFF"/>
    </w:rPr>
  </w:style>
  <w:style w:type="character" w:customStyle="1" w:styleId="67">
    <w:name w:val="first-child"/>
    <w:basedOn w:val="29"/>
    <w:qFormat/>
    <w:uiPriority w:val="0"/>
  </w:style>
  <w:style w:type="paragraph" w:customStyle="1" w:styleId="68">
    <w:name w:val="正文格式"/>
    <w:basedOn w:val="1"/>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69">
    <w:name w:val="样式5"/>
    <w:qFormat/>
    <w:uiPriority w:val="0"/>
    <w:pPr>
      <w:spacing w:line="500" w:lineRule="exact"/>
      <w:jc w:val="center"/>
      <w:textAlignment w:val="center"/>
    </w:pPr>
    <w:rPr>
      <w:rFonts w:ascii="Times New Roman" w:hAnsi="Times New Roman" w:eastAsia="宋体" w:cs="Times New Roman"/>
      <w:b/>
      <w:bCs/>
      <w:kern w:val="44"/>
      <w:sz w:val="30"/>
      <w:szCs w:val="4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80</Pages>
  <Words>319</Words>
  <Characters>355</Characters>
  <Lines>0</Lines>
  <Paragraphs>0</Paragraphs>
  <TotalTime>6</TotalTime>
  <ScaleCrop>false</ScaleCrop>
  <LinksUpToDate>false</LinksUpToDate>
  <CharactersWithSpaces>381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2018-10-14T05:51:00Z</dcterms:created>
  <dc:creator>美其名      </dc:creator>
  <cp:lastModifiedBy>噼里啪啦响</cp:lastModifiedBy>
  <cp:lastPrinted>2022-10-08T03:50:00Z</cp:lastPrinted>
  <dcterms:modified xsi:type="dcterms:W3CDTF">2026-01-04T08:45:27Z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BED42E803CD34039A3385F0C6FC842BD</vt:lpwstr>
  </property>
  <property fmtid="{D5CDD505-2E9C-101B-9397-08002B2CF9AE}" pid="4" name="KSOTemplateDocerSaveRecord">
    <vt:lpwstr>eyJoZGlkIjoiMjBkODRjODUzOTFjNjU0YzE5MzcxN2JkZWUwNThhYWYiLCJ1c2VySWQiOiIzNDk5NjMwMjIifQ==</vt:lpwstr>
  </property>
</Properties>
</file>