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4338B">
      <w:pPr>
        <w:spacing w:before="240" w:after="360" w:line="360" w:lineRule="auto"/>
        <w:jc w:val="center"/>
        <w:rPr>
          <w:rFonts w:hint="eastAsia" w:ascii="宋体" w:hAnsi="宋体" w:eastAsia="宋体" w:cs="宋体"/>
          <w:b/>
          <w:bCs/>
          <w:sz w:val="52"/>
          <w:szCs w:val="52"/>
        </w:rPr>
      </w:pPr>
      <w:r>
        <w:rPr>
          <w:rFonts w:hint="eastAsia" w:ascii="宋体" w:hAnsi="宋体" w:eastAsia="宋体" w:cs="宋体"/>
          <w:b/>
          <w:bCs/>
          <w:sz w:val="52"/>
          <w:szCs w:val="52"/>
        </w:rPr>
        <w:t>招标公告</w:t>
      </w:r>
    </w:p>
    <w:p w14:paraId="55FCB14E">
      <w:pPr>
        <w:spacing w:before="60" w:line="400" w:lineRule="auto"/>
        <w:jc w:val="left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一、项目名称：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聊城市退役军人医院UPS不间断电源采购项目</w:t>
      </w:r>
    </w:p>
    <w:p w14:paraId="074F1817">
      <w:pPr>
        <w:spacing w:line="400" w:lineRule="auto"/>
        <w:jc w:val="left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二、项目预算：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6000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</w:rPr>
        <w:t>0.00元（人民币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陆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</w:rPr>
        <w:t>万元整）</w:t>
      </w:r>
    </w:p>
    <w:p w14:paraId="4BE7502A">
      <w:pPr>
        <w:spacing w:line="400" w:lineRule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三、项目内容：</w:t>
      </w:r>
      <w:r>
        <w:rPr>
          <w:rFonts w:hint="eastAsia" w:ascii="宋体" w:hAnsi="宋体" w:eastAsia="宋体" w:cs="宋体"/>
          <w:sz w:val="28"/>
          <w:szCs w:val="28"/>
        </w:rPr>
        <w:t>采购UPS不间断电源系统1套。其中：20kVA高频在线双变换UPS主机1台，12V/100Ah阀控密封铅酸蓄电池32块，并包含设备运输、就位、安装、调试及电池柜、电池连接线等辅材；后备延时时间不少于2小时。</w:t>
      </w:r>
    </w:p>
    <w:p w14:paraId="1C3243AC">
      <w:pPr>
        <w:spacing w:line="400" w:lineRule="auto"/>
        <w:rPr>
          <w:rFonts w:hint="eastAsia" w:ascii="宋体" w:hAnsi="宋体" w:eastAsia="宋体" w:cs="宋体"/>
          <w:sz w:val="28"/>
          <w:szCs w:val="28"/>
          <w:u w:val="none"/>
          <w:lang w:val="en-US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四、报价说明：</w:t>
      </w:r>
      <w:r>
        <w:rPr>
          <w:rFonts w:hint="eastAsia" w:ascii="宋体" w:hAnsi="宋体" w:eastAsia="宋体" w:cs="宋体"/>
          <w:sz w:val="28"/>
          <w:szCs w:val="28"/>
        </w:rPr>
        <w:t>报价为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非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一次性</w:t>
      </w:r>
      <w:r>
        <w:rPr>
          <w:rFonts w:hint="eastAsia" w:ascii="宋体" w:hAnsi="宋体" w:eastAsia="宋体" w:cs="宋体"/>
          <w:sz w:val="28"/>
          <w:szCs w:val="28"/>
        </w:rPr>
        <w:t>报价，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如有二次或多次报价，法人或授权人需要现场报价。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付款方式：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验收合格后一次性付全款。</w:t>
      </w:r>
    </w:p>
    <w:p w14:paraId="22082240">
      <w:pPr>
        <w:spacing w:line="40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、质保期：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自验收合格之日起整机质保3年（UPS主机及蓄电池均不少于3年）；</w:t>
      </w:r>
      <w:r>
        <w:rPr>
          <w:rFonts w:hint="eastAsia" w:ascii="宋体" w:hAnsi="宋体" w:eastAsia="宋体" w:cs="宋体"/>
          <w:sz w:val="28"/>
          <w:szCs w:val="28"/>
        </w:rPr>
        <w:t>报修电话7×24小时响应：接到报修电话后2小时内有效答复，8小时内到达现场，48小时内无法修复须提供备用机，不得耽误使用。</w:t>
      </w:r>
    </w:p>
    <w:p w14:paraId="51085DA9">
      <w:pPr>
        <w:spacing w:line="40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、技术参数要求：</w:t>
      </w:r>
    </w:p>
    <w:p w14:paraId="05F1E81F">
      <w:pPr>
        <w:keepNext/>
        <w:spacing w:line="400" w:lineRule="auto"/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（1）UPS主机技术参数要求：</w:t>
      </w:r>
    </w:p>
    <w:p w14:paraId="5FBF8BDE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1、UPS主机容量20kVA，高频在线双变换式UPS，采用IGBT整流，功率变换器和系统元件均由DSP控制。</w:t>
      </w:r>
    </w:p>
    <w:p w14:paraId="47D53DB4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输出功率因数不小于0.9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。</w:t>
      </w:r>
    </w:p>
    <w:p w14:paraId="166A7491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3、兼容机架和塔式安装，机架安装时占用机柜空间不大于3U。</w:t>
      </w:r>
    </w:p>
    <w:p w14:paraId="67197ADD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4、输入输出制式支持单相输入单相输出、三相输入单相输出、三相输入三相输出。</w:t>
      </w:r>
    </w:p>
    <w:p w14:paraId="1DAD2A1B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5、输入电压范围应不小于80V-280V（L-N），输入频率范围不小于：40Hz~70Hz。</w:t>
      </w:r>
    </w:p>
    <w:p w14:paraId="5B584BB0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6、当输入额定电压，满载运行时，UPS设备输入功率因数应大于等于 0.99。</w:t>
      </w:r>
    </w:p>
    <w:p w14:paraId="6659BA92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7、输出电压稳压精度应小于220V±1％（L-N）。输出频率范围应不超出50±0.5%Hz(电池逆变工作方式)。</w:t>
      </w:r>
    </w:p>
    <w:p w14:paraId="7C87A8A7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8、整机最高效率不小于95%。</w:t>
      </w:r>
    </w:p>
    <w:p w14:paraId="467E540A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9、逆变过载能力：5分钟（125%额度电流），1分钟（150%额定电流）。</w:t>
      </w:r>
    </w:p>
    <w:p w14:paraId="11C24600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10、UPS在市电和电池两种状态间切换的时间应为0ms，静态旁路与逆变状态切换时间应为0ms。</w:t>
      </w:r>
    </w:p>
    <w:p w14:paraId="1AE47D60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11、保护功能：具有输入频率异常保护功能，电池过压告警和过放电保护功能，高温自动切换旁路保护功能。</w:t>
      </w:r>
    </w:p>
    <w:p w14:paraId="6E1BBBB4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12、具有声光告警功能，采用LCD屏幕显示，便于操作，界面显示输出，市电模式，负载容量，电池模式，电池容量，市电，逆变，旁路，故障状态。支持风扇故障预警、电容器故障预警、电池故障预警。</w:t>
      </w:r>
    </w:p>
    <w:p w14:paraId="166B778E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13、支持电池组共用，电池节数32-40节可调。</w:t>
      </w:r>
    </w:p>
    <w:p w14:paraId="0FA6B623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14、0℃～40℃长期满载正常工作</w:t>
      </w:r>
      <w:r>
        <w:rPr>
          <w:rFonts w:hint="eastAsia" w:ascii="宋体" w:hAnsi="宋体" w:cs="宋体"/>
          <w:sz w:val="28"/>
          <w:szCs w:val="28"/>
          <w:lang w:eastAsia="zh-CN"/>
        </w:rPr>
        <w:t>。</w:t>
      </w:r>
    </w:p>
    <w:p w14:paraId="098090E3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15、并机能力：支持4并机，可通过一张SNMP通信卡监控整个并机系统。</w:t>
      </w:r>
    </w:p>
    <w:p w14:paraId="73A5EB6B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16、防雷能力：交流输入端满足5kA防雷和6kV防浪涌。</w:t>
      </w:r>
    </w:p>
    <w:p w14:paraId="4CF7833F">
      <w:pPr>
        <w:keepNext/>
        <w:spacing w:before="180" w:line="400" w:lineRule="auto"/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（2）蓄电池技术参数要求：</w:t>
      </w:r>
    </w:p>
    <w:p w14:paraId="3929C185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单个蓄电池电压为12V，容量为100AH，蓄电池在环境温度25℃时的浮充运行寿命应不低于10年。</w:t>
      </w:r>
    </w:p>
    <w:p w14:paraId="422FE11B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</w:rPr>
        <w:t>阻燃性能：蓄电池壳、盖、连接条保护罩应符合 GB/T 2408-2021 第8.4.2条HB(水平级)和第9.4条V-0(垂直级)的要求。</w:t>
      </w:r>
    </w:p>
    <w:p w14:paraId="2C719876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</w:rPr>
        <w:t>气密性：应能承受50kPa的正压或负压而不破裂、不开胶，压力释放后壳体无残余变形。</w:t>
      </w:r>
    </w:p>
    <w:p w14:paraId="654FE050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sz w:val="28"/>
          <w:szCs w:val="28"/>
        </w:rPr>
        <w:t>大电流放电：以30I10放电3min，极柱应不熔断、内部汇流排应不熔断，外观应不出现异常。</w:t>
      </w:r>
    </w:p>
    <w:p w14:paraId="0F4BDF9A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sz w:val="28"/>
          <w:szCs w:val="28"/>
        </w:rPr>
        <w:t>容量保存率：蓄电池静置28天后，容量保存率不低于该电池实际容量的98%。</w:t>
      </w:r>
    </w:p>
    <w:p w14:paraId="4D11A977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 w:cs="宋体"/>
          <w:sz w:val="28"/>
          <w:szCs w:val="28"/>
        </w:rPr>
        <w:t>蓄电池的密封反应效率不低于98%。</w:t>
      </w:r>
    </w:p>
    <w:p w14:paraId="2C60C46C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7、</w:t>
      </w:r>
      <w:r>
        <w:rPr>
          <w:rFonts w:hint="eastAsia" w:ascii="宋体" w:hAnsi="宋体" w:eastAsia="宋体" w:cs="宋体"/>
          <w:sz w:val="28"/>
          <w:szCs w:val="28"/>
        </w:rPr>
        <w:t>防酸雾性能：蓄电池在正常工作中应无酸雾逸出。</w:t>
      </w:r>
    </w:p>
    <w:p w14:paraId="67AF4C3B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8、</w:t>
      </w:r>
      <w:r>
        <w:rPr>
          <w:rFonts w:hint="eastAsia" w:ascii="宋体" w:hAnsi="宋体" w:eastAsia="宋体" w:cs="宋体"/>
          <w:sz w:val="28"/>
          <w:szCs w:val="28"/>
        </w:rPr>
        <w:t>安全阀要求：应具有自动开启和自动关闭的功能，开阀压力和闭阀压力应满足以下要求：开阀压力16~19kPa；闭阀压力14~16kPa。</w:t>
      </w:r>
    </w:p>
    <w:p w14:paraId="15F1CFC1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9、</w:t>
      </w:r>
      <w:r>
        <w:rPr>
          <w:rFonts w:hint="eastAsia" w:ascii="宋体" w:hAnsi="宋体" w:eastAsia="宋体" w:cs="宋体"/>
          <w:sz w:val="28"/>
          <w:szCs w:val="28"/>
        </w:rPr>
        <w:t>耐过充电能力：完全充电的蓄电池以0.3C10 (A)电流再充电160h，过充完毕后静置1h，其外观应无明显变形和渗液。</w:t>
      </w:r>
    </w:p>
    <w:p w14:paraId="11CA57A0">
      <w:pPr>
        <w:spacing w:after="20" w:line="32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10、</w:t>
      </w:r>
      <w:r>
        <w:rPr>
          <w:rFonts w:hint="eastAsia" w:ascii="宋体" w:hAnsi="宋体" w:eastAsia="宋体" w:cs="宋体"/>
          <w:sz w:val="28"/>
          <w:szCs w:val="28"/>
        </w:rPr>
        <w:t>电池充电效率不应低于96%。</w:t>
      </w:r>
    </w:p>
    <w:p w14:paraId="57B7E46E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电池间连接电压降：5.5 I10放电条件下，△U应≤4.3mV。</w:t>
      </w:r>
    </w:p>
    <w:p w14:paraId="4BA7064C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</w:rPr>
        <w:t>防爆性能：蓄电池在充电过程中遇有明火内部不应引爆。</w:t>
      </w:r>
    </w:p>
    <w:p w14:paraId="756FD1E5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</w:rPr>
        <w:t>采用封口剂蓄电池，在温度-30℃～+65℃之间，封口剂不应有裂纹与溢流现象。</w:t>
      </w:r>
    </w:p>
    <w:p w14:paraId="40CDD7EE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sz w:val="28"/>
          <w:szCs w:val="28"/>
        </w:rPr>
        <w:t>蓄电池过度放电后，容量恢复值应≥99%。</w:t>
      </w:r>
    </w:p>
    <w:p w14:paraId="2DA41662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sz w:val="28"/>
          <w:szCs w:val="28"/>
        </w:rPr>
        <w:t>低温敏感性: 低温敏感性试验结束后，10h率容量应0.9C10，外观应无破裂、过度膨胀，槽盖应无分离现象。</w:t>
      </w:r>
    </w:p>
    <w:p w14:paraId="0576FEE0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 w:cs="宋体"/>
          <w:sz w:val="28"/>
          <w:szCs w:val="28"/>
        </w:rPr>
        <w:t>需提供所投产品的泰尔认证证书和同系列产品的泰尔检测报告。</w:t>
      </w:r>
    </w:p>
    <w:p w14:paraId="2C5A1DE7">
      <w:pPr>
        <w:keepNext/>
        <w:spacing w:before="180" w:line="400" w:lineRule="auto"/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（3）配套设备及安装要求：</w:t>
      </w:r>
    </w:p>
    <w:p w14:paraId="2A313030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1、电池柜：16节电池柜2套，满足32块12V/100Ah蓄电池安装，含柜内连接线、层板及接地端子，外形尺寸与现场安装空间相匹配。</w:t>
      </w:r>
    </w:p>
    <w:p w14:paraId="2E43ED94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2、安装调试：含设备运输、搬运就位、主机与电池组连接、输入输出电缆敷设接线、与院内原有配电系统及负载的接入，直至系统正常运行。</w:t>
      </w:r>
    </w:p>
    <w:p w14:paraId="5F259EA7">
      <w:pPr>
        <w:keepNext/>
        <w:spacing w:before="180" w:line="400" w:lineRule="auto"/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、技术服务要求：</w:t>
      </w:r>
    </w:p>
    <w:p w14:paraId="34B25A4F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1、中标人负责设备的运输、就位、安装、接线、调试，直至设备正常投入运行，并负责清理施工现场。</w:t>
      </w:r>
    </w:p>
    <w:p w14:paraId="3E1F0E6F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2、安装调试完成后，须提供完整的竣工资料，包括设备合格证、说明书、出厂检验报告、蓄电池泰尔认证证书及同系列产品泰尔检测报告、安装记录及调试报告。</w:t>
      </w:r>
    </w:p>
    <w:p w14:paraId="4FBE99CE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3、对使用人员进行不少于1次的现场操作与日常维护培训，并提供培训记录及操作规程。</w:t>
      </w:r>
    </w:p>
    <w:p w14:paraId="618B4554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4、质保期内免费提供故障维修、损坏部件更换及必要的软件升级；接到报修后按第五条响应时限执行。</w:t>
      </w:r>
    </w:p>
    <w:p w14:paraId="03FBC428">
      <w:pPr>
        <w:spacing w:after="20" w:line="320" w:lineRule="auto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5、质保期内因产品质量原因造成的设备损坏，由中标人免费更换；因使用方人为原因造成的损坏，中标人按成本价提供维修服务。</w:t>
      </w:r>
    </w:p>
    <w:p w14:paraId="0D86C4CC">
      <w:pPr>
        <w:spacing w:before="180" w:line="400" w:lineRule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九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、需要提供的材料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加盖公章的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泰尔认证证书和泰尔检测报告、有效营业执照复印件、法人身份证复印件或授权委托书、委托代理人身份证复印件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报价函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及报价明细表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须单独密封递交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。</w:t>
      </w:r>
    </w:p>
    <w:p w14:paraId="2625003A">
      <w:pPr>
        <w:spacing w:line="400" w:lineRule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十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、定标方式：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根据产品价格、性能质量、售后综合对比。</w:t>
      </w:r>
    </w:p>
    <w:p w14:paraId="08937112">
      <w:pPr>
        <w:rPr>
          <w:rFonts w:hint="eastAsia" w:ascii="宋体" w:hAnsi="宋体" w:cs="宋体"/>
          <w:b/>
          <w:bCs w:val="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 w:val="0"/>
          <w:sz w:val="28"/>
          <w:szCs w:val="28"/>
          <w:highlight w:val="none"/>
          <w:lang w:val="en-US" w:eastAsia="zh-CN"/>
        </w:rPr>
        <w:t>十一</w:t>
      </w:r>
      <w:r>
        <w:rPr>
          <w:rFonts w:hint="eastAsia" w:ascii="宋体" w:hAnsi="宋体" w:cs="宋体"/>
          <w:b/>
          <w:bCs w:val="0"/>
          <w:sz w:val="28"/>
          <w:szCs w:val="28"/>
          <w:highlight w:val="none"/>
        </w:rPr>
        <w:t>、报名时间及报名方式：</w:t>
      </w:r>
    </w:p>
    <w:p w14:paraId="528A1152">
      <w:pPr>
        <w:ind w:firstLine="280" w:firstLineChars="100"/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>报名时间：202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Cs/>
          <w:sz w:val="28"/>
          <w:szCs w:val="28"/>
        </w:rPr>
        <w:t>年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bCs/>
          <w:sz w:val="28"/>
          <w:szCs w:val="28"/>
        </w:rPr>
        <w:t>月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Cs/>
          <w:sz w:val="28"/>
          <w:szCs w:val="28"/>
        </w:rPr>
        <w:t>日8:00——202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Cs/>
          <w:sz w:val="28"/>
          <w:szCs w:val="28"/>
        </w:rPr>
        <w:t>年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bCs/>
          <w:sz w:val="28"/>
          <w:szCs w:val="28"/>
        </w:rPr>
        <w:t>月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bCs/>
          <w:sz w:val="28"/>
          <w:szCs w:val="28"/>
        </w:rPr>
        <w:t>日17: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0</w:t>
      </w:r>
      <w:r>
        <w:rPr>
          <w:rFonts w:hint="eastAsia" w:ascii="宋体" w:hAnsi="宋体" w:cs="宋体"/>
          <w:bCs/>
          <w:sz w:val="28"/>
          <w:szCs w:val="28"/>
        </w:rPr>
        <w:t>0</w:t>
      </w:r>
    </w:p>
    <w:p w14:paraId="61317805">
      <w:pPr>
        <w:ind w:firstLine="280" w:firstLineChars="100"/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>报名地点：请到聊城市退役军人医院门诊楼四楼财务科报名</w:t>
      </w:r>
    </w:p>
    <w:p w14:paraId="04A64E94">
      <w:pPr>
        <w:ind w:firstLine="280" w:firstLineChars="100"/>
        <w:rPr>
          <w:rFonts w:hint="default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Cs/>
          <w:sz w:val="28"/>
          <w:szCs w:val="28"/>
        </w:rPr>
        <w:t>联系方式：0635-8344021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   0635-8341028</w:t>
      </w:r>
    </w:p>
    <w:p w14:paraId="17A05B19">
      <w:pPr>
        <w:rPr>
          <w:rFonts w:hint="eastAsia" w:ascii="宋体" w:hAnsi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Cs/>
          <w:sz w:val="28"/>
          <w:szCs w:val="28"/>
        </w:rPr>
        <w:t xml:space="preserve">                           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 xml:space="preserve">       </w:t>
      </w:r>
    </w:p>
    <w:p w14:paraId="27BCDBF6">
      <w:pPr>
        <w:ind w:firstLine="4760" w:firstLineChars="1700"/>
        <w:rPr>
          <w:rFonts w:hint="eastAsia"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>聊城市退役军人医院财务科</w:t>
      </w:r>
    </w:p>
    <w:p w14:paraId="2C821584">
      <w:pPr>
        <w:rPr>
          <w:rFonts w:ascii="宋体" w:hAnsi="宋体" w:cs="宋体"/>
          <w:bCs/>
          <w:sz w:val="28"/>
          <w:szCs w:val="28"/>
        </w:rPr>
      </w:pPr>
      <w:r>
        <w:rPr>
          <w:rFonts w:hint="eastAsia" w:ascii="宋体" w:hAnsi="宋体" w:cs="宋体"/>
          <w:bCs/>
          <w:sz w:val="28"/>
          <w:szCs w:val="28"/>
        </w:rPr>
        <w:t xml:space="preserve">                                      202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Cs/>
          <w:sz w:val="28"/>
          <w:szCs w:val="28"/>
        </w:rPr>
        <w:t>年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 w:cs="宋体"/>
          <w:bCs/>
          <w:sz w:val="28"/>
          <w:szCs w:val="28"/>
        </w:rPr>
        <w:t>月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cs="宋体"/>
          <w:bCs/>
          <w:sz w:val="28"/>
          <w:szCs w:val="28"/>
        </w:rPr>
        <w:t>日</w:t>
      </w:r>
    </w:p>
    <w:p w14:paraId="19B8AD5C">
      <w:pPr>
        <w:spacing w:line="400" w:lineRule="auto"/>
        <w:rPr>
          <w:rFonts w:hint="eastAsia" w:ascii="宋体" w:hAnsi="宋体" w:eastAsia="宋体" w:cs="宋体"/>
          <w:sz w:val="28"/>
          <w:szCs w:val="28"/>
          <w:highlight w:val="yellow"/>
        </w:rPr>
      </w:pPr>
    </w:p>
    <w:p w14:paraId="3F1237E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 w14:paraId="05112365">
      <w:pPr>
        <w:jc w:val="center"/>
        <w:rPr>
          <w:rFonts w:hint="eastAsia"/>
          <w:b/>
          <w:bCs/>
          <w:sz w:val="52"/>
          <w:szCs w:val="52"/>
        </w:rPr>
      </w:pPr>
    </w:p>
    <w:p w14:paraId="38238308">
      <w:pPr>
        <w:jc w:val="center"/>
        <w:rPr>
          <w:rFonts w:hint="eastAsia"/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报价函</w:t>
      </w:r>
    </w:p>
    <w:p w14:paraId="00FF5FB4">
      <w:pPr>
        <w:spacing w:before="60" w:line="400" w:lineRule="auto"/>
        <w:jc w:val="left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/>
          <w:sz w:val="28"/>
          <w:szCs w:val="28"/>
        </w:rPr>
        <w:t>项目名称：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聊城市退役军人医院UPS不间断电源采购项目</w:t>
      </w:r>
    </w:p>
    <w:tbl>
      <w:tblPr>
        <w:tblStyle w:val="4"/>
        <w:tblpPr w:leftFromText="180" w:rightFromText="180" w:vertAnchor="text" w:horzAnchor="page" w:tblpX="1575" w:tblpY="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1"/>
        <w:gridCol w:w="5701"/>
      </w:tblGrid>
      <w:tr w14:paraId="4BB27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</w:trPr>
        <w:tc>
          <w:tcPr>
            <w:tcW w:w="2971" w:type="dxa"/>
            <w:noWrap w:val="0"/>
            <w:vAlign w:val="center"/>
          </w:tcPr>
          <w:p w14:paraId="152D3AB6">
            <w:pPr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最终报价（元）</w:t>
            </w:r>
          </w:p>
        </w:tc>
        <w:tc>
          <w:tcPr>
            <w:tcW w:w="5701" w:type="dxa"/>
            <w:noWrap w:val="0"/>
            <w:vAlign w:val="top"/>
          </w:tcPr>
          <w:p w14:paraId="5D87BB21">
            <w:pPr>
              <w:jc w:val="left"/>
              <w:rPr>
                <w:rFonts w:hint="default" w:ascii="Times New Roman" w:hAnsi="Times New Roman" w:eastAsia="宋体" w:cs="Times New Roman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大写：</w:t>
            </w:r>
            <w:r>
              <w:rPr>
                <w:rFonts w:hint="eastAsia" w:ascii="Times New Roman" w:hAnsi="Times New Roman" w:cs="Times New Roman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hint="eastAsia" w:ascii="Times New Roman" w:hAnsi="Times New Roman" w:cs="Times New Roman"/>
                <w:sz w:val="28"/>
                <w:szCs w:val="28"/>
                <w:u w:val="single"/>
                <w:lang w:val="en-US" w:eastAsia="zh-CN"/>
              </w:rPr>
              <w:t>______</w:t>
            </w:r>
            <w:r>
              <w:rPr>
                <w:rFonts w:hint="eastAsia" w:ascii="Times New Roman" w:hAnsi="Times New Roman" w:cs="Times New Roman"/>
                <w:sz w:val="28"/>
                <w:szCs w:val="28"/>
              </w:rPr>
              <w:t>元</w:t>
            </w:r>
          </w:p>
          <w:p w14:paraId="66299E26">
            <w:pPr>
              <w:jc w:val="left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小写：</w:t>
            </w:r>
            <w:r>
              <w:rPr>
                <w:rFonts w:hint="eastAsia" w:ascii="Times New Roman" w:hAnsi="Times New Roman" w:cs="Times New Roman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hint="eastAsia" w:ascii="Times New Roman" w:hAnsi="Times New Roman" w:cs="Times New Roman"/>
                <w:sz w:val="28"/>
                <w:szCs w:val="28"/>
              </w:rPr>
              <w:t>元</w:t>
            </w:r>
          </w:p>
        </w:tc>
      </w:tr>
      <w:tr w14:paraId="1E13C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971" w:type="dxa"/>
            <w:noWrap w:val="0"/>
            <w:vAlign w:val="center"/>
          </w:tcPr>
          <w:p w14:paraId="26FBCCBE">
            <w:pPr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质保期</w:t>
            </w:r>
          </w:p>
        </w:tc>
        <w:tc>
          <w:tcPr>
            <w:tcW w:w="5701" w:type="dxa"/>
            <w:noWrap w:val="0"/>
            <w:vAlign w:val="top"/>
          </w:tcPr>
          <w:p w14:paraId="7715CFEB">
            <w:pPr>
              <w:jc w:val="left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hint="eastAsia" w:ascii="Times New Roman" w:hAnsi="Times New Roman" w:cs="Times New Roman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 w:ascii="Times New Roman" w:hAnsi="Times New Roman" w:cs="Times New Roman"/>
                <w:sz w:val="28"/>
                <w:szCs w:val="28"/>
              </w:rPr>
              <w:t>年</w:t>
            </w:r>
          </w:p>
        </w:tc>
      </w:tr>
      <w:tr w14:paraId="4A358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971" w:type="dxa"/>
            <w:noWrap w:val="0"/>
            <w:vAlign w:val="center"/>
          </w:tcPr>
          <w:p w14:paraId="323A8EBF">
            <w:pPr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cs="Times New Roman"/>
                <w:sz w:val="28"/>
                <w:szCs w:val="28"/>
              </w:rPr>
              <w:t>交付期</w:t>
            </w:r>
          </w:p>
        </w:tc>
        <w:tc>
          <w:tcPr>
            <w:tcW w:w="5701" w:type="dxa"/>
            <w:noWrap w:val="0"/>
            <w:vAlign w:val="top"/>
          </w:tcPr>
          <w:p w14:paraId="6E4AA686">
            <w:pPr>
              <w:jc w:val="left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cs="Times New Roman"/>
                <w:sz w:val="28"/>
                <w:szCs w:val="28"/>
              </w:rPr>
              <w:t>合同生效后</w:t>
            </w:r>
            <w:r>
              <w:rPr>
                <w:rFonts w:hint="eastAsia" w:ascii="宋体" w:hAnsi="宋体" w:cs="Times New Roman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宋体" w:hAnsi="宋体" w:cs="Times New Roman"/>
                <w:sz w:val="28"/>
                <w:szCs w:val="28"/>
              </w:rPr>
              <w:t>天</w:t>
            </w:r>
          </w:p>
        </w:tc>
      </w:tr>
      <w:tr w14:paraId="3FB43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2971" w:type="dxa"/>
            <w:noWrap w:val="0"/>
            <w:vAlign w:val="center"/>
          </w:tcPr>
          <w:p w14:paraId="3F36BC22">
            <w:pPr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cs="Times New Roman"/>
                <w:sz w:val="28"/>
                <w:szCs w:val="28"/>
              </w:rPr>
              <w:t>售后服务</w:t>
            </w:r>
          </w:p>
        </w:tc>
        <w:tc>
          <w:tcPr>
            <w:tcW w:w="5701" w:type="dxa"/>
            <w:noWrap w:val="0"/>
            <w:vAlign w:val="top"/>
          </w:tcPr>
          <w:p w14:paraId="3CB9380E">
            <w:pPr>
              <w:jc w:val="left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cs="Times New Roman"/>
                <w:sz w:val="28"/>
                <w:szCs w:val="28"/>
              </w:rPr>
              <w:t>出现质量问题接到买方通知后到达现场的时间</w:t>
            </w:r>
            <w:r>
              <w:rPr>
                <w:rFonts w:hint="eastAsia" w:ascii="宋体" w:hAnsi="宋体" w:cs="Times New Roman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宋体" w:hAnsi="宋体" w:cs="Times New Roman"/>
                <w:sz w:val="28"/>
                <w:szCs w:val="28"/>
              </w:rPr>
              <w:t>小时</w:t>
            </w:r>
          </w:p>
        </w:tc>
      </w:tr>
      <w:tr w14:paraId="4D3B6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4" w:hRule="atLeast"/>
        </w:trPr>
        <w:tc>
          <w:tcPr>
            <w:tcW w:w="2971" w:type="dxa"/>
            <w:noWrap w:val="0"/>
            <w:vAlign w:val="center"/>
          </w:tcPr>
          <w:p w14:paraId="3DBBCEFA">
            <w:pPr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需要澄清的其他内容</w:t>
            </w:r>
          </w:p>
        </w:tc>
        <w:tc>
          <w:tcPr>
            <w:tcW w:w="5701" w:type="dxa"/>
            <w:noWrap w:val="0"/>
            <w:vAlign w:val="top"/>
          </w:tcPr>
          <w:p w14:paraId="0531FB16">
            <w:pPr>
              <w:jc w:val="left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</w:tr>
    </w:tbl>
    <w:p w14:paraId="71FF027D">
      <w:pPr>
        <w:ind w:firstLine="4200" w:firstLineChars="1500"/>
        <w:jc w:val="left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企 业 名 称：</w:t>
      </w:r>
      <w:r>
        <w:rPr>
          <w:rFonts w:hint="eastAsia"/>
          <w:sz w:val="28"/>
          <w:szCs w:val="28"/>
          <w:u w:val="single"/>
        </w:rPr>
        <w:t xml:space="preserve">                  </w:t>
      </w:r>
    </w:p>
    <w:p w14:paraId="14B04F88">
      <w:pPr>
        <w:jc w:val="left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                          </w:t>
      </w:r>
      <w:r>
        <w:rPr>
          <w:rFonts w:hint="eastAsia"/>
          <w:sz w:val="28"/>
          <w:szCs w:val="28"/>
          <w:lang w:val="en-US" w:eastAsia="zh-CN"/>
        </w:rPr>
        <w:t>法人或</w:t>
      </w:r>
      <w:r>
        <w:rPr>
          <w:rFonts w:hint="eastAsia"/>
          <w:sz w:val="28"/>
          <w:szCs w:val="28"/>
        </w:rPr>
        <w:t>授权代表签字：</w:t>
      </w:r>
      <w:bookmarkStart w:id="0" w:name="_GoBack"/>
      <w:bookmarkEnd w:id="0"/>
      <w:r>
        <w:rPr>
          <w:rFonts w:hint="eastAsia"/>
          <w:sz w:val="28"/>
          <w:szCs w:val="28"/>
          <w:u w:val="single"/>
        </w:rPr>
        <w:t xml:space="preserve">             </w:t>
      </w:r>
    </w:p>
    <w:p w14:paraId="2A00435F">
      <w:pPr>
        <w:ind w:firstLine="280" w:firstLineChars="1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日期：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</w:t>
      </w:r>
    </w:p>
    <w:p w14:paraId="2336332B">
      <w:pPr>
        <w:widowControl/>
        <w:jc w:val="left"/>
        <w:rPr>
          <w:rFonts w:hint="eastAsia"/>
        </w:rPr>
      </w:pPr>
    </w:p>
    <w:p w14:paraId="05D8CC9D">
      <w:pPr>
        <w:widowControl/>
        <w:jc w:val="left"/>
        <w:rPr>
          <w:rFonts w:hint="eastAsia"/>
        </w:rPr>
      </w:pPr>
    </w:p>
    <w:p w14:paraId="464F28B2">
      <w:pPr>
        <w:spacing w:line="460" w:lineRule="auto"/>
        <w:ind w:left="1700"/>
        <w:jc w:val="left"/>
        <w:rPr>
          <w:rFonts w:hint="eastAsia" w:ascii="宋体" w:hAnsi="宋体" w:eastAsia="宋体" w:cs="宋体"/>
          <w:sz w:val="28"/>
          <w:szCs w:val="28"/>
        </w:rPr>
      </w:pPr>
    </w:p>
    <w:p w14:paraId="71DE0D73">
      <w:pPr>
        <w:spacing w:line="46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附件一：</w:t>
      </w:r>
    </w:p>
    <w:p w14:paraId="48360A71">
      <w:pPr>
        <w:spacing w:line="460" w:lineRule="auto"/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报价明细表</w:t>
      </w:r>
    </w:p>
    <w:p w14:paraId="183732A7">
      <w:pPr>
        <w:spacing w:line="460" w:lineRule="auto"/>
        <w:jc w:val="center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单位：元</w:t>
      </w:r>
    </w:p>
    <w:tbl>
      <w:tblPr>
        <w:tblStyle w:val="5"/>
        <w:tblW w:w="0" w:type="auto"/>
        <w:tblInd w:w="-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680"/>
        <w:gridCol w:w="1017"/>
        <w:gridCol w:w="1217"/>
        <w:gridCol w:w="1217"/>
        <w:gridCol w:w="1217"/>
        <w:gridCol w:w="1217"/>
      </w:tblGrid>
      <w:tr w14:paraId="214E8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dxa"/>
          </w:tcPr>
          <w:p w14:paraId="75EA7BF4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80" w:type="dxa"/>
          </w:tcPr>
          <w:p w14:paraId="62271BD4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017" w:type="dxa"/>
          </w:tcPr>
          <w:p w14:paraId="75C1C7E2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17" w:type="dxa"/>
          </w:tcPr>
          <w:p w14:paraId="3DE2B433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</w:t>
            </w:r>
          </w:p>
        </w:tc>
        <w:tc>
          <w:tcPr>
            <w:tcW w:w="1217" w:type="dxa"/>
          </w:tcPr>
          <w:p w14:paraId="157387C1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 w14:paraId="1ABB751E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  <w:tc>
          <w:tcPr>
            <w:tcW w:w="1217" w:type="dxa"/>
          </w:tcPr>
          <w:p w14:paraId="3E38B843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</w:tr>
      <w:tr w14:paraId="34312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dxa"/>
          </w:tcPr>
          <w:p w14:paraId="35965D6A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80" w:type="dxa"/>
          </w:tcPr>
          <w:p w14:paraId="27C09785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UPS主机</w:t>
            </w:r>
          </w:p>
        </w:tc>
        <w:tc>
          <w:tcPr>
            <w:tcW w:w="1017" w:type="dxa"/>
          </w:tcPr>
          <w:p w14:paraId="4EB5A045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514337D5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779C8300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6A56E899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2F5DA1BC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687C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dxa"/>
          </w:tcPr>
          <w:p w14:paraId="0B285F15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80" w:type="dxa"/>
          </w:tcPr>
          <w:p w14:paraId="6D0D3255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电池</w:t>
            </w:r>
          </w:p>
        </w:tc>
        <w:tc>
          <w:tcPr>
            <w:tcW w:w="1017" w:type="dxa"/>
          </w:tcPr>
          <w:p w14:paraId="11DEB15B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35B416FB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0BE037CF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2474D5D1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2E5F2CBC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064E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dxa"/>
          </w:tcPr>
          <w:p w14:paraId="2F932D2E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80" w:type="dxa"/>
          </w:tcPr>
          <w:p w14:paraId="6633634A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电池柜</w:t>
            </w:r>
          </w:p>
        </w:tc>
        <w:tc>
          <w:tcPr>
            <w:tcW w:w="1017" w:type="dxa"/>
          </w:tcPr>
          <w:p w14:paraId="6126C113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5A6A9251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031914E6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4C3EC7AB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3B7B8BBA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2D22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dxa"/>
          </w:tcPr>
          <w:p w14:paraId="570E02E3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80" w:type="dxa"/>
          </w:tcPr>
          <w:p w14:paraId="09FA8226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辅材</w:t>
            </w:r>
          </w:p>
        </w:tc>
        <w:tc>
          <w:tcPr>
            <w:tcW w:w="1017" w:type="dxa"/>
          </w:tcPr>
          <w:p w14:paraId="54E7A61A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6D0674D8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612C5FCC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7528CF85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26422B3F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7931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5" w:type="dxa"/>
          </w:tcPr>
          <w:p w14:paraId="230956F1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80" w:type="dxa"/>
          </w:tcPr>
          <w:p w14:paraId="75A218C6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安装调试费</w:t>
            </w:r>
          </w:p>
        </w:tc>
        <w:tc>
          <w:tcPr>
            <w:tcW w:w="1017" w:type="dxa"/>
          </w:tcPr>
          <w:p w14:paraId="65A35B32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72BE1021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45D67959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59BA0A74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 w14:paraId="21C2A06A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18B5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5" w:type="dxa"/>
            <w:gridSpan w:val="2"/>
          </w:tcPr>
          <w:p w14:paraId="684B176C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总计：</w:t>
            </w:r>
          </w:p>
        </w:tc>
        <w:tc>
          <w:tcPr>
            <w:tcW w:w="5885" w:type="dxa"/>
            <w:gridSpan w:val="5"/>
          </w:tcPr>
          <w:p w14:paraId="0FDE95FC">
            <w:pPr>
              <w:spacing w:line="4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2CA3760">
      <w:pPr>
        <w:spacing w:line="460" w:lineRule="auto"/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E7DC7A">
    <w:pPr>
      <w:pBdr>
        <w:bottom w:val="single" w:color="000000" w:sz="6" w:space="1"/>
      </w:pBdr>
      <w:jc w:val="center"/>
      <w:rPr>
        <w:rFonts w:ascii="Times New Roman" w:hAnsi="Times New Roman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3NDc2M2Q4YjU5MGMxM2ViNzUyNjlmOGYxY2RmZTQifQ=="/>
  </w:docVars>
  <w:rsids>
    <w:rsidRoot w:val="006F6663"/>
    <w:rsid w:val="00003862"/>
    <w:rsid w:val="00004933"/>
    <w:rsid w:val="0000552D"/>
    <w:rsid w:val="000061F5"/>
    <w:rsid w:val="0001032F"/>
    <w:rsid w:val="000438E2"/>
    <w:rsid w:val="00057D83"/>
    <w:rsid w:val="000624C5"/>
    <w:rsid w:val="000756C5"/>
    <w:rsid w:val="00117BF2"/>
    <w:rsid w:val="001211B3"/>
    <w:rsid w:val="00137BBD"/>
    <w:rsid w:val="0016171D"/>
    <w:rsid w:val="001A45A7"/>
    <w:rsid w:val="001A6BB3"/>
    <w:rsid w:val="001F1A8A"/>
    <w:rsid w:val="00222E3F"/>
    <w:rsid w:val="002A2981"/>
    <w:rsid w:val="002B3570"/>
    <w:rsid w:val="002F2CD5"/>
    <w:rsid w:val="002F35FA"/>
    <w:rsid w:val="00306DBD"/>
    <w:rsid w:val="003309A3"/>
    <w:rsid w:val="00362B76"/>
    <w:rsid w:val="00366C1D"/>
    <w:rsid w:val="003C1C69"/>
    <w:rsid w:val="00401849"/>
    <w:rsid w:val="00410D07"/>
    <w:rsid w:val="0041491E"/>
    <w:rsid w:val="00445338"/>
    <w:rsid w:val="00486DC8"/>
    <w:rsid w:val="004A224F"/>
    <w:rsid w:val="004A2DE5"/>
    <w:rsid w:val="004B6540"/>
    <w:rsid w:val="004C773D"/>
    <w:rsid w:val="004D3FD4"/>
    <w:rsid w:val="004E5D25"/>
    <w:rsid w:val="00517E4E"/>
    <w:rsid w:val="005515A1"/>
    <w:rsid w:val="00592704"/>
    <w:rsid w:val="00596757"/>
    <w:rsid w:val="005A5C77"/>
    <w:rsid w:val="005C5135"/>
    <w:rsid w:val="00654EFD"/>
    <w:rsid w:val="00674C02"/>
    <w:rsid w:val="00676527"/>
    <w:rsid w:val="006A04CD"/>
    <w:rsid w:val="006C028F"/>
    <w:rsid w:val="006F6663"/>
    <w:rsid w:val="00722915"/>
    <w:rsid w:val="007353B2"/>
    <w:rsid w:val="00742E83"/>
    <w:rsid w:val="00763921"/>
    <w:rsid w:val="0076407F"/>
    <w:rsid w:val="00773FCA"/>
    <w:rsid w:val="0078258F"/>
    <w:rsid w:val="0079724F"/>
    <w:rsid w:val="007A3A85"/>
    <w:rsid w:val="007E0643"/>
    <w:rsid w:val="007E72DB"/>
    <w:rsid w:val="007F6FD6"/>
    <w:rsid w:val="007F756E"/>
    <w:rsid w:val="00823CA2"/>
    <w:rsid w:val="00823E18"/>
    <w:rsid w:val="008529E3"/>
    <w:rsid w:val="00861B27"/>
    <w:rsid w:val="009230D6"/>
    <w:rsid w:val="00930597"/>
    <w:rsid w:val="00980D4F"/>
    <w:rsid w:val="0098307C"/>
    <w:rsid w:val="00985C6F"/>
    <w:rsid w:val="0098607C"/>
    <w:rsid w:val="009C3A5D"/>
    <w:rsid w:val="009D0097"/>
    <w:rsid w:val="009D5DE0"/>
    <w:rsid w:val="009F26CC"/>
    <w:rsid w:val="00A2662F"/>
    <w:rsid w:val="00A75D53"/>
    <w:rsid w:val="00A764F6"/>
    <w:rsid w:val="00B16D3E"/>
    <w:rsid w:val="00B55974"/>
    <w:rsid w:val="00B66DCE"/>
    <w:rsid w:val="00BB193A"/>
    <w:rsid w:val="00BB5042"/>
    <w:rsid w:val="00BB7D5A"/>
    <w:rsid w:val="00BF030B"/>
    <w:rsid w:val="00BF6B6F"/>
    <w:rsid w:val="00C006D3"/>
    <w:rsid w:val="00D20200"/>
    <w:rsid w:val="00D21F83"/>
    <w:rsid w:val="00D47AB0"/>
    <w:rsid w:val="00D94BCF"/>
    <w:rsid w:val="00DB6098"/>
    <w:rsid w:val="00DB692E"/>
    <w:rsid w:val="00DE1D2E"/>
    <w:rsid w:val="00E06097"/>
    <w:rsid w:val="00E203C1"/>
    <w:rsid w:val="00E55B3E"/>
    <w:rsid w:val="00E9394D"/>
    <w:rsid w:val="00E93C1C"/>
    <w:rsid w:val="00E94A33"/>
    <w:rsid w:val="00EB1FC8"/>
    <w:rsid w:val="00ED7BDF"/>
    <w:rsid w:val="00EE5343"/>
    <w:rsid w:val="00F0420C"/>
    <w:rsid w:val="00F42E76"/>
    <w:rsid w:val="00FA3C45"/>
    <w:rsid w:val="033E071B"/>
    <w:rsid w:val="03401CEE"/>
    <w:rsid w:val="03EC63C9"/>
    <w:rsid w:val="050D65F7"/>
    <w:rsid w:val="0619721E"/>
    <w:rsid w:val="075B620E"/>
    <w:rsid w:val="08430582"/>
    <w:rsid w:val="0B9730BE"/>
    <w:rsid w:val="0FAA0F98"/>
    <w:rsid w:val="12AB744F"/>
    <w:rsid w:val="1380268A"/>
    <w:rsid w:val="14DA76C3"/>
    <w:rsid w:val="16630C36"/>
    <w:rsid w:val="18D25736"/>
    <w:rsid w:val="1C9D605B"/>
    <w:rsid w:val="1E920729"/>
    <w:rsid w:val="21A25EC1"/>
    <w:rsid w:val="232930E5"/>
    <w:rsid w:val="235D3330"/>
    <w:rsid w:val="23AB5501"/>
    <w:rsid w:val="262C11AD"/>
    <w:rsid w:val="2AA867CA"/>
    <w:rsid w:val="2B0005DF"/>
    <w:rsid w:val="2C275941"/>
    <w:rsid w:val="30AB4781"/>
    <w:rsid w:val="36B67FED"/>
    <w:rsid w:val="370C6794"/>
    <w:rsid w:val="3768599A"/>
    <w:rsid w:val="3A870421"/>
    <w:rsid w:val="3D9A7414"/>
    <w:rsid w:val="415375C6"/>
    <w:rsid w:val="429C278D"/>
    <w:rsid w:val="44A1408B"/>
    <w:rsid w:val="450308A1"/>
    <w:rsid w:val="47D44777"/>
    <w:rsid w:val="4BDB3B10"/>
    <w:rsid w:val="4E191136"/>
    <w:rsid w:val="4FF827A0"/>
    <w:rsid w:val="513E0EB3"/>
    <w:rsid w:val="531A73B8"/>
    <w:rsid w:val="56424FA2"/>
    <w:rsid w:val="57C87729"/>
    <w:rsid w:val="591F781C"/>
    <w:rsid w:val="5B0B0058"/>
    <w:rsid w:val="5B2F1F99"/>
    <w:rsid w:val="5B8D6CBF"/>
    <w:rsid w:val="5CCC1A69"/>
    <w:rsid w:val="5E251431"/>
    <w:rsid w:val="5FB219AF"/>
    <w:rsid w:val="6232236E"/>
    <w:rsid w:val="63A05943"/>
    <w:rsid w:val="63A70B3A"/>
    <w:rsid w:val="6710500A"/>
    <w:rsid w:val="67D77679"/>
    <w:rsid w:val="69E27A34"/>
    <w:rsid w:val="6C6A75FD"/>
    <w:rsid w:val="74C442B3"/>
    <w:rsid w:val="77416E84"/>
    <w:rsid w:val="79330A4E"/>
    <w:rsid w:val="79407201"/>
    <w:rsid w:val="7A067F11"/>
    <w:rsid w:val="7BC65BA9"/>
    <w:rsid w:val="7DC75C09"/>
    <w:rsid w:val="7E492AC2"/>
    <w:rsid w:val="7EAD3051"/>
    <w:rsid w:val="7EFB00F5"/>
    <w:rsid w:val="7FC4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qFormat/>
    <w:uiPriority w:val="0"/>
    <w:rPr>
      <w:color w:val="0000FF"/>
      <w:u w:val="single"/>
    </w:rPr>
  </w:style>
  <w:style w:type="paragraph" w:customStyle="1" w:styleId="8">
    <w:name w:val="列表段落1"/>
    <w:basedOn w:val="1"/>
    <w:qFormat/>
    <w:uiPriority w:val="0"/>
    <w:pPr>
      <w:ind w:firstLine="420" w:firstLineChars="200"/>
    </w:pPr>
    <w:rPr>
      <w:rFonts w:ascii="等线" w:hAnsi="等线" w:eastAsia="等线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7</Pages>
  <Words>864</Words>
  <Characters>981</Characters>
  <Lines>69</Lines>
  <Paragraphs>77</Paragraphs>
  <TotalTime>72</TotalTime>
  <ScaleCrop>false</ScaleCrop>
  <LinksUpToDate>false</LinksUpToDate>
  <CharactersWithSpaces>982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2026-10-23T03:39:00Z</dcterms:created>
  <dc:creator>Administrator</dc:creator>
  <cp:lastModifiedBy>静</cp:lastModifiedBy>
  <dcterms:modified xsi:type="dcterms:W3CDTF">2026-10-30T08:36:11Z</dcterms:modified>
  <dc:title>院内招标公告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B3C110DFE7CF46E1BE0BACBA03E1DDB2_13</vt:lpwstr>
  </property>
  <property fmtid="{D5CDD505-2E9C-101B-9397-08002B2CF9AE}" pid="4" name="KSOTemplateDocerSaveRecord">
    <vt:lpwstr>eyJoZGlkIjoiMjBiYTU0NTBiZWEyOWM0MTEwNzQxMzFlZDljYzhmNjgiLCJ1c2VySWQiOiI4NjU1MzEwMzYifQ==</vt:lpwstr>
  </property>
</Properties>
</file>