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96C9B">
      <w:pPr>
        <w:jc w:val="center"/>
        <w:rPr>
          <w:b/>
          <w:bCs/>
          <w:sz w:val="52"/>
          <w:szCs w:val="52"/>
        </w:rPr>
      </w:pPr>
      <w:r>
        <w:rPr>
          <w:rFonts w:hint="eastAsia"/>
          <w:b/>
          <w:bCs/>
          <w:sz w:val="52"/>
          <w:szCs w:val="52"/>
        </w:rPr>
        <w:t>招标公告</w:t>
      </w:r>
    </w:p>
    <w:p w14:paraId="66085BFC">
      <w:pPr>
        <w:numPr>
          <w:ilvl w:val="0"/>
          <w:numId w:val="1"/>
        </w:numPr>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项目名称：</w:t>
      </w:r>
      <w:r>
        <w:rPr>
          <w:rFonts w:hint="eastAsia" w:ascii="宋体" w:hAnsi="宋体" w:eastAsia="宋体" w:cs="宋体"/>
          <w:color w:val="000000" w:themeColor="text1"/>
          <w:sz w:val="28"/>
          <w:szCs w:val="28"/>
          <w14:textFill>
            <w14:solidFill>
              <w14:schemeClr w14:val="tx1"/>
            </w14:solidFill>
          </w14:textFill>
        </w:rPr>
        <w:t>聊城市退役军人医院</w:t>
      </w:r>
      <w:r>
        <w:rPr>
          <w:rFonts w:hint="eastAsia" w:ascii="宋体" w:hAnsi="宋体" w:eastAsia="宋体" w:cs="宋体"/>
          <w:color w:val="000000" w:themeColor="text1"/>
          <w:sz w:val="28"/>
          <w:szCs w:val="28"/>
          <w:lang w:val="en-US" w:eastAsia="zh-CN"/>
          <w14:textFill>
            <w14:solidFill>
              <w14:schemeClr w14:val="tx1"/>
            </w14:solidFill>
          </w14:textFill>
        </w:rPr>
        <w:t>射频消融专用设备租赁及耗材配送</w:t>
      </w:r>
      <w:r>
        <w:rPr>
          <w:rFonts w:hint="eastAsia" w:ascii="宋体" w:hAnsi="宋体" w:eastAsia="宋体" w:cs="宋体"/>
          <w:color w:val="000000" w:themeColor="text1"/>
          <w:sz w:val="28"/>
          <w:szCs w:val="28"/>
          <w14:textFill>
            <w14:solidFill>
              <w14:schemeClr w14:val="tx1"/>
            </w14:solidFill>
          </w14:textFill>
        </w:rPr>
        <w:t>采购项目</w:t>
      </w:r>
    </w:p>
    <w:p w14:paraId="712380F9">
      <w:pPr>
        <w:pStyle w:val="7"/>
        <w:numPr>
          <w:numId w:val="0"/>
        </w:numPr>
        <w:ind w:left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sz w:val="28"/>
          <w:szCs w:val="28"/>
          <w:lang w:val="en-US" w:eastAsia="zh-CN"/>
        </w:rPr>
        <w:t>二、</w:t>
      </w:r>
      <w:r>
        <w:rPr>
          <w:rFonts w:hint="eastAsia" w:ascii="宋体" w:hAnsi="宋体" w:eastAsia="宋体" w:cs="宋体"/>
          <w:b/>
          <w:bCs/>
          <w:sz w:val="28"/>
          <w:szCs w:val="28"/>
        </w:rPr>
        <w:t>项目内容</w:t>
      </w:r>
      <w:r>
        <w:rPr>
          <w:rFonts w:hint="eastAsia" w:ascii="宋体" w:hAnsi="宋体" w:eastAsia="宋体" w:cs="宋体"/>
          <w:sz w:val="28"/>
          <w:szCs w:val="28"/>
        </w:rPr>
        <w:t>：</w:t>
      </w:r>
      <w:r>
        <w:rPr>
          <w:rFonts w:hint="eastAsia" w:ascii="宋体" w:hAnsi="宋体" w:eastAsia="宋体" w:cs="宋体"/>
          <w:sz w:val="28"/>
          <w:szCs w:val="28"/>
        </w:rPr>
        <w:t>租赁注册证适用范围须明确可用于颈椎 / 腰椎椎间盘突出射频消融治疗设备一台；专用手术配套耗材的配送；</w:t>
      </w:r>
    </w:p>
    <w:p w14:paraId="045BB155">
      <w:pPr>
        <w:pStyle w:val="7"/>
        <w:numPr>
          <w:numId w:val="0"/>
        </w:numPr>
        <w:ind w:leftChars="0"/>
        <w:rPr>
          <w:rFonts w:hint="eastAsia" w:ascii="宋体" w:hAnsi="宋体" w:eastAsia="宋体" w:cs="宋体"/>
          <w:sz w:val="28"/>
          <w:szCs w:val="28"/>
          <w:lang w:eastAsia="zh-CN"/>
        </w:rPr>
      </w:pPr>
      <w:r>
        <w:rPr>
          <w:rFonts w:hint="eastAsia" w:ascii="宋体" w:hAnsi="宋体" w:eastAsia="宋体" w:cs="宋体"/>
          <w:sz w:val="28"/>
          <w:szCs w:val="28"/>
          <w:lang w:val="en-US" w:eastAsia="zh-CN"/>
        </w:rPr>
        <w:t>三、</w:t>
      </w:r>
      <w:r>
        <w:rPr>
          <w:rFonts w:hint="eastAsia" w:ascii="宋体" w:hAnsi="宋体" w:eastAsia="宋体" w:cs="宋体"/>
          <w:b/>
          <w:bCs/>
          <w:sz w:val="28"/>
          <w:szCs w:val="28"/>
        </w:rPr>
        <w:t>项目预算：</w:t>
      </w:r>
      <w:r>
        <w:rPr>
          <w:rFonts w:hint="eastAsia" w:ascii="宋体" w:hAnsi="宋体" w:eastAsia="宋体" w:cs="宋体"/>
          <w:sz w:val="28"/>
          <w:szCs w:val="28"/>
        </w:rPr>
        <w:t>5.91万元/年</w:t>
      </w:r>
      <w:r>
        <w:rPr>
          <w:rFonts w:hint="eastAsia" w:ascii="宋体" w:hAnsi="宋体" w:eastAsia="宋体" w:cs="宋体"/>
          <w:sz w:val="28"/>
          <w:szCs w:val="28"/>
          <w:lang w:eastAsia="zh-CN"/>
        </w:rPr>
        <w:t>，</w:t>
      </w:r>
      <w:r>
        <w:rPr>
          <w:rFonts w:hint="eastAsia" w:ascii="宋体" w:hAnsi="宋体" w:eastAsia="宋体" w:cs="宋体"/>
          <w:sz w:val="28"/>
          <w:szCs w:val="28"/>
        </w:rPr>
        <w:t>包括如下内容</w:t>
      </w:r>
      <w:r>
        <w:rPr>
          <w:rFonts w:hint="eastAsia" w:ascii="宋体" w:hAnsi="宋体" w:eastAsia="宋体" w:cs="宋体"/>
          <w:sz w:val="28"/>
          <w:szCs w:val="28"/>
          <w:lang w:eastAsia="zh-CN"/>
        </w:rPr>
        <w:t>：</w:t>
      </w:r>
    </w:p>
    <w:p w14:paraId="6C643F24">
      <w:pPr>
        <w:pStyle w:val="7"/>
        <w:numPr>
          <w:ilvl w:val="0"/>
          <w:numId w:val="2"/>
        </w:numPr>
        <w:ind w:left="450"/>
        <w:rPr>
          <w:rFonts w:hint="eastAsia" w:ascii="宋体" w:hAnsi="宋体" w:eastAsia="宋体" w:cs="宋体"/>
          <w:sz w:val="28"/>
          <w:szCs w:val="28"/>
        </w:rPr>
      </w:pPr>
      <w:r>
        <w:rPr>
          <w:rFonts w:hint="eastAsia" w:ascii="宋体" w:hAnsi="宋体" w:eastAsia="宋体" w:cs="宋体"/>
          <w:sz w:val="28"/>
          <w:szCs w:val="28"/>
        </w:rPr>
        <w:t>设备租赁预算9600元/年；</w:t>
      </w:r>
    </w:p>
    <w:p w14:paraId="46E164A5">
      <w:pPr>
        <w:pStyle w:val="7"/>
        <w:numPr>
          <w:ilvl w:val="0"/>
          <w:numId w:val="2"/>
        </w:numPr>
        <w:ind w:left="450"/>
        <w:rPr>
          <w:rFonts w:hint="eastAsia" w:ascii="宋体" w:hAnsi="宋体" w:eastAsia="宋体" w:cs="宋体"/>
          <w:sz w:val="28"/>
          <w:szCs w:val="28"/>
        </w:rPr>
      </w:pPr>
      <w:r>
        <w:rPr>
          <w:rFonts w:hint="eastAsia" w:ascii="宋体" w:hAnsi="宋体" w:eastAsia="宋体" w:cs="宋体"/>
          <w:sz w:val="28"/>
          <w:szCs w:val="28"/>
        </w:rPr>
        <w:t>预估每年66例手术，耗材预算49500元</w:t>
      </w:r>
      <w:r>
        <w:rPr>
          <w:rFonts w:hint="eastAsia" w:ascii="宋体" w:hAnsi="宋体" w:eastAsia="宋体" w:cs="宋体"/>
          <w:sz w:val="28"/>
          <w:szCs w:val="28"/>
          <w:lang w:eastAsia="zh-CN"/>
        </w:rPr>
        <w:t>。</w:t>
      </w:r>
    </w:p>
    <w:p w14:paraId="2F59C34E">
      <w:pP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四、商务及资格</w:t>
      </w:r>
      <w:r>
        <w:rPr>
          <w:rFonts w:hint="eastAsia" w:ascii="宋体" w:hAnsi="宋体" w:eastAsia="宋体" w:cs="宋体"/>
          <w:b/>
          <w:bCs/>
          <w:sz w:val="28"/>
          <w:szCs w:val="28"/>
        </w:rPr>
        <w:t>要求：</w:t>
      </w:r>
    </w:p>
    <w:p w14:paraId="5F5ACFF9">
      <w:pPr>
        <w:ind w:left="450" w:hanging="450"/>
        <w:rPr>
          <w:rFonts w:hint="eastAsia" w:ascii="宋体" w:hAnsi="宋体" w:eastAsia="宋体" w:cs="宋体"/>
          <w:sz w:val="28"/>
          <w:szCs w:val="28"/>
        </w:rPr>
      </w:pPr>
      <w:r>
        <w:rPr>
          <w:rFonts w:hint="eastAsia" w:ascii="宋体" w:hAnsi="宋体" w:eastAsia="宋体" w:cs="宋体"/>
          <w:color w:val="EE0000"/>
          <w:sz w:val="28"/>
          <w:szCs w:val="28"/>
        </w:rPr>
        <w:t>★为实质性要求，不满足要求的投标文件无效。</w:t>
      </w:r>
    </w:p>
    <w:p w14:paraId="5FEC3F51">
      <w:pPr>
        <w:pStyle w:val="7"/>
        <w:numPr>
          <w:ilvl w:val="0"/>
          <w:numId w:val="3"/>
        </w:numPr>
        <w:rPr>
          <w:rFonts w:hint="eastAsia" w:ascii="宋体" w:hAnsi="宋体" w:eastAsia="宋体" w:cs="宋体"/>
          <w:sz w:val="28"/>
          <w:szCs w:val="28"/>
        </w:rPr>
      </w:pPr>
      <w:bookmarkStart w:id="0" w:name="OLE_LINK3"/>
      <w:r>
        <w:rPr>
          <w:rFonts w:hint="eastAsia" w:ascii="宋体" w:hAnsi="宋体" w:eastAsia="宋体" w:cs="宋体"/>
          <w:sz w:val="28"/>
          <w:szCs w:val="28"/>
        </w:rPr>
        <w:t>★</w:t>
      </w:r>
      <w:bookmarkEnd w:id="0"/>
      <w:r>
        <w:rPr>
          <w:rFonts w:hint="eastAsia" w:ascii="宋体" w:hAnsi="宋体" w:eastAsia="宋体" w:cs="宋体"/>
          <w:sz w:val="28"/>
          <w:szCs w:val="28"/>
        </w:rPr>
        <w:t>投标产品须为国家药品监督管理局 Ⅲ 类医疗器械，提供有效的医疗器械注册证、产品技术要求复印件；注册证适用范围须明确可用于椎间盘突出射频消融治疗，不满足做无效投标处理。投标人为独立法人，具备三类医疗器械经营资质。生产厂家为国外的，投标供应商须提供生产厂家授权书原件（或加盖公章复印件）。</w:t>
      </w:r>
    </w:p>
    <w:p w14:paraId="22CBDB26">
      <w:pPr>
        <w:pStyle w:val="7"/>
        <w:numPr>
          <w:ilvl w:val="0"/>
          <w:numId w:val="3"/>
        </w:numPr>
        <w:rPr>
          <w:rFonts w:hint="eastAsia" w:ascii="宋体" w:hAnsi="宋体" w:eastAsia="宋体" w:cs="宋体"/>
          <w:sz w:val="28"/>
          <w:szCs w:val="28"/>
        </w:rPr>
      </w:pPr>
      <w:r>
        <w:rPr>
          <w:rFonts w:hint="eastAsia" w:ascii="宋体" w:hAnsi="宋体" w:eastAsia="宋体" w:cs="宋体"/>
          <w:sz w:val="28"/>
          <w:szCs w:val="28"/>
        </w:rPr>
        <w:t>★投标人提供售后服务承诺函，由设备及配送耗材质量问题产生的一切风险及损失，由投标人承担。</w:t>
      </w:r>
    </w:p>
    <w:p w14:paraId="58FAF7AB">
      <w:pPr>
        <w:pStyle w:val="7"/>
        <w:numPr>
          <w:ilvl w:val="0"/>
          <w:numId w:val="3"/>
        </w:numPr>
        <w:rPr>
          <w:rFonts w:hint="eastAsia" w:ascii="宋体" w:hAnsi="宋体" w:eastAsia="宋体" w:cs="宋体"/>
          <w:sz w:val="28"/>
          <w:szCs w:val="28"/>
        </w:rPr>
      </w:pPr>
      <w:r>
        <w:rPr>
          <w:rFonts w:hint="eastAsia" w:ascii="宋体" w:hAnsi="宋体" w:eastAsia="宋体" w:cs="宋体"/>
          <w:sz w:val="28"/>
          <w:szCs w:val="28"/>
        </w:rPr>
        <w:t>合作期内设备维修及质保服务，由投标人提供；整机预计使用年限≥8 年；提供安装、操作培训、临床手术带教、定期上门维护服务。</w:t>
      </w:r>
    </w:p>
    <w:p w14:paraId="1F815CA1">
      <w:pPr>
        <w:pStyle w:val="7"/>
        <w:numPr>
          <w:ilvl w:val="0"/>
          <w:numId w:val="3"/>
        </w:numPr>
        <w:rPr>
          <w:rFonts w:hint="eastAsia" w:ascii="宋体" w:hAnsi="宋体" w:eastAsia="宋体" w:cs="宋体"/>
          <w:sz w:val="28"/>
          <w:szCs w:val="28"/>
        </w:rPr>
      </w:pPr>
      <w:r>
        <w:rPr>
          <w:rFonts w:hint="eastAsia" w:ascii="宋体" w:hAnsi="宋体" w:eastAsia="宋体" w:cs="宋体"/>
          <w:sz w:val="28"/>
          <w:szCs w:val="28"/>
        </w:rPr>
        <w:t>配套耗材：射频消融手术专用的耗材，包括但不限于射频电极、射频套管（针）和其他手术必备耗材。投标人提供产品注册证及产品说明书。</w:t>
      </w:r>
    </w:p>
    <w:p w14:paraId="762B746B">
      <w:pPr>
        <w:pStyle w:val="7"/>
        <w:numPr>
          <w:ilvl w:val="0"/>
          <w:numId w:val="3"/>
        </w:numPr>
        <w:rPr>
          <w:rFonts w:hint="eastAsia" w:ascii="宋体" w:hAnsi="宋体" w:eastAsia="宋体" w:cs="宋体"/>
          <w:sz w:val="28"/>
          <w:szCs w:val="28"/>
        </w:rPr>
      </w:pPr>
      <w:r>
        <w:rPr>
          <w:rFonts w:hint="eastAsia" w:ascii="宋体" w:hAnsi="宋体" w:eastAsia="宋体" w:cs="宋体"/>
          <w:sz w:val="28"/>
          <w:szCs w:val="28"/>
        </w:rPr>
        <w:t>设备装机时，出厂时间不大于3个月。</w:t>
      </w:r>
    </w:p>
    <w:p w14:paraId="68F18AAC">
      <w:pPr>
        <w:pStyle w:val="7"/>
        <w:numPr>
          <w:numId w:val="0"/>
        </w:numPr>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设备性能要求：</w:t>
      </w:r>
    </w:p>
    <w:p w14:paraId="0737FDA4">
      <w:pPr>
        <w:ind w:left="450" w:hanging="450"/>
        <w:rPr>
          <w:rFonts w:hint="eastAsia" w:ascii="宋体" w:hAnsi="宋体" w:eastAsia="宋体" w:cs="宋体"/>
          <w:sz w:val="28"/>
          <w:szCs w:val="28"/>
        </w:rPr>
      </w:pPr>
      <w:r>
        <w:rPr>
          <w:rFonts w:hint="eastAsia" w:ascii="宋体" w:hAnsi="宋体" w:eastAsia="宋体" w:cs="宋体"/>
          <w:color w:val="EE0000"/>
          <w:sz w:val="28"/>
          <w:szCs w:val="28"/>
        </w:rPr>
        <w:t>★为实质性要求，不满足要求的投标文件无效。</w:t>
      </w:r>
    </w:p>
    <w:p w14:paraId="514AEF6B">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 xml:space="preserve">显示区域≥8 英寸，主机支持触控或物理按键操作，显示内容至少包括：术区温度、阻抗、输出功率、工作计时。 </w:t>
      </w:r>
    </w:p>
    <w:p w14:paraId="3FBCDB35">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具备多路输出通道，支持单极、双极输出模式；，具有自动检测和识别电极连接数量，支持双靶点同时治疗；可独立控制每一路输出参数，多个单极模式下，可暂停其中某个单极。</w:t>
      </w:r>
    </w:p>
    <w:p w14:paraId="2FAABBD5">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射频模式：具有包括但不限于热凝射频、脉冲射频等功能，单极、双极射频模式，输出通道能够独立控制。</w:t>
      </w:r>
    </w:p>
    <w:p w14:paraId="4C0DCFD5">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支持自定义预设手术参数功能；</w:t>
      </w:r>
    </w:p>
    <w:p w14:paraId="2BDFF120">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负极片工作状态：有工作状态提示，能判断负极片连接状态，根据情况提示连接负极片或负极片脱落、接触不良报警；</w:t>
      </w:r>
    </w:p>
    <w:p w14:paraId="6F961913">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6、</w:t>
      </w:r>
      <w:r>
        <w:rPr>
          <w:rFonts w:hint="eastAsia" w:ascii="宋体" w:hAnsi="宋体" w:eastAsia="宋体" w:cs="宋体"/>
          <w:sz w:val="28"/>
          <w:szCs w:val="28"/>
        </w:rPr>
        <w:t>实时阻抗监测：阻抗测量范围至少包括10Ω‑2999Ω区间；阻抗异常（超出范围）时自动停止射频输出，阻抗数值实时显示；防止电极短路、脱离人体造成风险。</w:t>
      </w:r>
    </w:p>
    <w:p w14:paraId="1CF9B6F5">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温度检测范围至少包括0‑99℃区间；具备温度超限保护，电极温度超过设定保护阈值，设备立即切断射频能量输出，防止热损伤周围神经组织。</w:t>
      </w:r>
    </w:p>
    <w:p w14:paraId="7A05CA69">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射频输出定时：至少包括1s‑100s 区间，连续可调；至少支持两种计时模式：①射频启动即计时；②达到目标治疗温度后开始计时。</w:t>
      </w:r>
    </w:p>
    <w:p w14:paraId="5836AD21">
      <w:pPr>
        <w:pStyle w:val="7"/>
        <w:numPr>
          <w:numId w:val="0"/>
        </w:numPr>
        <w:ind w:leftChars="0"/>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★具备神经电刺激测试功能（感觉刺激 + 运动刺激）：</w:t>
      </w:r>
    </w:p>
    <w:p w14:paraId="449CB6F6">
      <w:pPr>
        <w:pStyle w:val="7"/>
        <w:ind w:left="440"/>
        <w:rPr>
          <w:rFonts w:hint="eastAsia" w:ascii="宋体" w:hAnsi="宋体" w:eastAsia="宋体" w:cs="宋体"/>
          <w:sz w:val="28"/>
          <w:szCs w:val="28"/>
        </w:rPr>
      </w:pPr>
      <w:r>
        <w:rPr>
          <w:rFonts w:hint="eastAsia" w:ascii="宋体" w:hAnsi="宋体" w:eastAsia="宋体" w:cs="宋体"/>
          <w:sz w:val="28"/>
          <w:szCs w:val="28"/>
        </w:rPr>
        <w:t>- 电压刺激输出：至少包含0.0‑10.00V  区间，连续可调</w:t>
      </w:r>
    </w:p>
    <w:p w14:paraId="4B23CB64">
      <w:pPr>
        <w:pStyle w:val="7"/>
        <w:keepNext w:val="0"/>
        <w:keepLines w:val="0"/>
        <w:pageBreakBefore w:val="0"/>
        <w:widowControl w:val="0"/>
        <w:kinsoku/>
        <w:wordWrap/>
        <w:overflowPunct/>
        <w:topLinePunct w:val="0"/>
        <w:autoSpaceDE/>
        <w:autoSpaceDN/>
        <w:bidi w:val="0"/>
        <w:adjustRightInd/>
        <w:snapToGrid/>
        <w:spacing w:line="279" w:lineRule="auto"/>
        <w:ind w:left="440"/>
        <w:textAlignment w:val="auto"/>
        <w:rPr>
          <w:rFonts w:hint="eastAsia" w:ascii="宋体" w:hAnsi="宋体" w:eastAsia="宋体" w:cs="宋体"/>
          <w:sz w:val="28"/>
          <w:szCs w:val="28"/>
        </w:rPr>
      </w:pPr>
      <w:r>
        <w:rPr>
          <w:rFonts w:hint="eastAsia" w:ascii="宋体" w:hAnsi="宋体" w:eastAsia="宋体" w:cs="宋体"/>
          <w:sz w:val="28"/>
          <w:szCs w:val="28"/>
        </w:rPr>
        <w:t>- 电流刺激输出：至少包括0.0‑10.00mA区间，连续可调</w:t>
      </w:r>
    </w:p>
    <w:p w14:paraId="7F4A30B3">
      <w:pPr>
        <w:pStyle w:val="7"/>
        <w:keepNext w:val="0"/>
        <w:keepLines w:val="0"/>
        <w:pageBreakBefore w:val="0"/>
        <w:widowControl w:val="0"/>
        <w:kinsoku/>
        <w:wordWrap/>
        <w:overflowPunct/>
        <w:topLinePunct w:val="0"/>
        <w:autoSpaceDE/>
        <w:autoSpaceDN/>
        <w:bidi w:val="0"/>
        <w:adjustRightInd/>
        <w:snapToGrid/>
        <w:spacing w:line="279" w:lineRule="auto"/>
        <w:ind w:left="440"/>
        <w:textAlignment w:val="auto"/>
        <w:rPr>
          <w:rFonts w:hint="eastAsia" w:ascii="宋体" w:hAnsi="宋体" w:eastAsia="宋体" w:cs="宋体"/>
          <w:sz w:val="28"/>
          <w:szCs w:val="28"/>
        </w:rPr>
      </w:pPr>
      <w:r>
        <w:rPr>
          <w:rFonts w:hint="eastAsia" w:ascii="宋体" w:hAnsi="宋体" w:eastAsia="宋体" w:cs="宋体"/>
          <w:sz w:val="28"/>
          <w:szCs w:val="28"/>
        </w:rPr>
        <w:t>- 运动刺激频率：至少包括1‑50Hz区间，连续可调；</w:t>
      </w:r>
    </w:p>
    <w:p w14:paraId="373E94DE">
      <w:pPr>
        <w:pStyle w:val="7"/>
        <w:keepNext w:val="0"/>
        <w:keepLines w:val="0"/>
        <w:pageBreakBefore w:val="0"/>
        <w:widowControl w:val="0"/>
        <w:kinsoku/>
        <w:wordWrap/>
        <w:overflowPunct/>
        <w:topLinePunct w:val="0"/>
        <w:autoSpaceDE/>
        <w:autoSpaceDN/>
        <w:bidi w:val="0"/>
        <w:adjustRightInd/>
        <w:snapToGrid/>
        <w:spacing w:line="279" w:lineRule="auto"/>
        <w:ind w:left="440"/>
        <w:textAlignment w:val="auto"/>
        <w:rPr>
          <w:rFonts w:hint="eastAsia" w:ascii="宋体" w:hAnsi="宋体" w:eastAsia="宋体" w:cs="宋体"/>
          <w:sz w:val="28"/>
          <w:szCs w:val="28"/>
        </w:rPr>
      </w:pPr>
      <w:r>
        <w:rPr>
          <w:rFonts w:hint="eastAsia" w:ascii="宋体" w:hAnsi="宋体" w:eastAsia="宋体" w:cs="宋体"/>
          <w:sz w:val="28"/>
          <w:szCs w:val="28"/>
        </w:rPr>
        <w:t>- 感觉刺激频率：至少包括50‑200Hz区间，连续可调</w:t>
      </w:r>
    </w:p>
    <w:p w14:paraId="51B28874">
      <w:pPr>
        <w:pStyle w:val="7"/>
        <w:keepNext w:val="0"/>
        <w:keepLines w:val="0"/>
        <w:pageBreakBefore w:val="0"/>
        <w:widowControl w:val="0"/>
        <w:kinsoku/>
        <w:wordWrap/>
        <w:overflowPunct/>
        <w:topLinePunct w:val="0"/>
        <w:autoSpaceDE/>
        <w:autoSpaceDN/>
        <w:bidi w:val="0"/>
        <w:adjustRightInd/>
        <w:snapToGrid/>
        <w:spacing w:line="279" w:lineRule="auto"/>
        <w:ind w:left="440"/>
        <w:textAlignment w:val="auto"/>
        <w:rPr>
          <w:rFonts w:hint="eastAsia" w:ascii="宋体" w:hAnsi="宋体" w:eastAsia="宋体" w:cs="宋体"/>
          <w:sz w:val="28"/>
          <w:szCs w:val="28"/>
        </w:rPr>
      </w:pPr>
      <w:r>
        <w:rPr>
          <w:rFonts w:hint="eastAsia" w:ascii="宋体" w:hAnsi="宋体" w:eastAsia="宋体" w:cs="宋体"/>
          <w:sz w:val="28"/>
          <w:szCs w:val="28"/>
        </w:rPr>
        <w:t>- 刺激脉宽：至少包括0.1‑5.0ms 区间连续可调，且支持单极刺激、双极刺激输出。</w:t>
      </w:r>
    </w:p>
    <w:p w14:paraId="1D5F39BA">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rPr>
        <w:t>★具备标准热凝射频模式（温控射频）：治疗温度范围 至少包括37‑90℃连续可调，用于椎间盘髓核热凝、胶原纤维收缩减压；升温速率可调，适配颈椎、腰椎不同靶点消融需要。</w:t>
      </w:r>
    </w:p>
    <w:p w14:paraId="7785AA2E">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11、</w:t>
      </w:r>
      <w:r>
        <w:rPr>
          <w:rFonts w:hint="eastAsia" w:ascii="宋体" w:hAnsi="宋体" w:eastAsia="宋体" w:cs="宋体"/>
          <w:sz w:val="28"/>
          <w:szCs w:val="28"/>
        </w:rPr>
        <w:t>★具备脉冲射频模式：用于神经调控治疗椎间盘源性腰痛；脉冲频率至少包括 1</w:t>
      </w:r>
      <w:r>
        <w:rPr>
          <w:rFonts w:hint="eastAsia" w:ascii="宋体" w:hAnsi="宋体" w:eastAsia="宋体" w:cs="宋体"/>
          <w:sz w:val="28"/>
          <w:szCs w:val="28"/>
        </w:rPr>
        <w:noBreakHyphen/>
      </w:r>
      <w:r>
        <w:rPr>
          <w:rFonts w:hint="eastAsia" w:ascii="宋体" w:hAnsi="宋体" w:eastAsia="宋体" w:cs="宋体"/>
          <w:sz w:val="28"/>
          <w:szCs w:val="28"/>
        </w:rPr>
        <w:t>10Hz 区间连续可调，脉冲脉宽 至少包括3</w:t>
      </w:r>
      <w:r>
        <w:rPr>
          <w:rFonts w:hint="eastAsia" w:ascii="宋体" w:hAnsi="宋体" w:eastAsia="宋体" w:cs="宋体"/>
          <w:sz w:val="28"/>
          <w:szCs w:val="28"/>
        </w:rPr>
        <w:noBreakHyphen/>
      </w:r>
      <w:r>
        <w:rPr>
          <w:rFonts w:hint="eastAsia" w:ascii="宋体" w:hAnsi="宋体" w:eastAsia="宋体" w:cs="宋体"/>
          <w:sz w:val="28"/>
          <w:szCs w:val="28"/>
        </w:rPr>
        <w:t>40ms 区间可调；脉冲模式峰值电压≥100V；脉冲射频不造成神经毁损，用于疼痛调节治疗</w:t>
      </w:r>
    </w:p>
    <w:p w14:paraId="3BF92ED0">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12、</w:t>
      </w:r>
      <w:r>
        <w:rPr>
          <w:rFonts w:hint="eastAsia" w:ascii="宋体" w:hAnsi="宋体" w:eastAsia="宋体" w:cs="宋体"/>
          <w:sz w:val="28"/>
          <w:szCs w:val="28"/>
        </w:rPr>
        <w:t>射频主机工作频率≤490kHz；最大射频输出功率≤50W，满足脊柱椎间盘微创射频临床需求</w:t>
      </w:r>
    </w:p>
    <w:p w14:paraId="6EBFF38F">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六、</w:t>
      </w:r>
      <w:r>
        <w:rPr>
          <w:rFonts w:hint="eastAsia" w:ascii="宋体" w:hAnsi="宋体" w:eastAsia="宋体" w:cs="宋体"/>
          <w:b/>
          <w:bCs/>
          <w:sz w:val="28"/>
          <w:szCs w:val="28"/>
        </w:rPr>
        <w:t>★配置清单（标准配置至少包含以下内容）</w:t>
      </w:r>
    </w:p>
    <w:p w14:paraId="496C0E18">
      <w:pPr>
        <w:pStyle w:val="7"/>
        <w:keepNext w:val="0"/>
        <w:keepLines w:val="0"/>
        <w:pageBreakBefore w:val="0"/>
        <w:widowControl w:val="0"/>
        <w:numPr>
          <w:ilvl w:val="1"/>
          <w:numId w:val="4"/>
        </w:numPr>
        <w:kinsoku/>
        <w:wordWrap/>
        <w:overflowPunct/>
        <w:topLinePunct w:val="0"/>
        <w:autoSpaceDE/>
        <w:autoSpaceDN/>
        <w:bidi w:val="0"/>
        <w:adjustRightInd/>
        <w:snapToGrid/>
        <w:spacing w:line="279" w:lineRule="auto"/>
        <w:textAlignment w:val="auto"/>
        <w:rPr>
          <w:rFonts w:hint="eastAsia" w:ascii="宋体" w:hAnsi="宋体" w:eastAsia="宋体" w:cs="宋体"/>
          <w:sz w:val="28"/>
          <w:szCs w:val="28"/>
        </w:rPr>
      </w:pPr>
      <w:r>
        <w:rPr>
          <w:rFonts w:hint="eastAsia" w:ascii="宋体" w:hAnsi="宋体" w:eastAsia="宋体" w:cs="宋体"/>
          <w:sz w:val="28"/>
          <w:szCs w:val="28"/>
        </w:rPr>
        <w:t>射频消融治疗仪主机：1 台</w:t>
      </w:r>
    </w:p>
    <w:p w14:paraId="51658868">
      <w:pPr>
        <w:pStyle w:val="7"/>
        <w:keepNext w:val="0"/>
        <w:keepLines w:val="0"/>
        <w:pageBreakBefore w:val="0"/>
        <w:widowControl w:val="0"/>
        <w:numPr>
          <w:ilvl w:val="1"/>
          <w:numId w:val="4"/>
        </w:numPr>
        <w:kinsoku/>
        <w:wordWrap/>
        <w:overflowPunct/>
        <w:topLinePunct w:val="0"/>
        <w:autoSpaceDE/>
        <w:autoSpaceDN/>
        <w:bidi w:val="0"/>
        <w:adjustRightInd/>
        <w:snapToGrid/>
        <w:spacing w:line="279" w:lineRule="auto"/>
        <w:textAlignment w:val="auto"/>
        <w:rPr>
          <w:rFonts w:hint="eastAsia" w:ascii="宋体" w:hAnsi="宋体" w:eastAsia="宋体" w:cs="宋体"/>
          <w:sz w:val="28"/>
          <w:szCs w:val="28"/>
        </w:rPr>
      </w:pPr>
      <w:r>
        <w:rPr>
          <w:rFonts w:hint="eastAsia" w:ascii="宋体" w:hAnsi="宋体" w:eastAsia="宋体" w:cs="宋体"/>
          <w:sz w:val="28"/>
          <w:szCs w:val="28"/>
        </w:rPr>
        <w:t>可重复使用金属中性电极板及连接电缆：2 套</w:t>
      </w:r>
    </w:p>
    <w:p w14:paraId="3F2EE7E1">
      <w:pPr>
        <w:pStyle w:val="7"/>
        <w:keepNext w:val="0"/>
        <w:keepLines w:val="0"/>
        <w:pageBreakBefore w:val="0"/>
        <w:widowControl w:val="0"/>
        <w:numPr>
          <w:ilvl w:val="1"/>
          <w:numId w:val="4"/>
        </w:numPr>
        <w:kinsoku/>
        <w:wordWrap/>
        <w:overflowPunct/>
        <w:topLinePunct w:val="0"/>
        <w:autoSpaceDE/>
        <w:autoSpaceDN/>
        <w:bidi w:val="0"/>
        <w:adjustRightInd/>
        <w:snapToGrid/>
        <w:spacing w:line="279" w:lineRule="auto"/>
        <w:textAlignment w:val="auto"/>
        <w:rPr>
          <w:rFonts w:hint="eastAsia" w:ascii="宋体" w:hAnsi="宋体" w:eastAsia="宋体" w:cs="宋体"/>
          <w:sz w:val="28"/>
          <w:szCs w:val="28"/>
        </w:rPr>
      </w:pPr>
      <w:r>
        <w:rPr>
          <w:rFonts w:hint="eastAsia" w:ascii="宋体" w:hAnsi="宋体" w:eastAsia="宋体" w:cs="宋体"/>
          <w:sz w:val="28"/>
          <w:szCs w:val="28"/>
        </w:rPr>
        <w:t>脚踏控制开关：1 套</w:t>
      </w:r>
    </w:p>
    <w:p w14:paraId="7B1CFDFC">
      <w:pPr>
        <w:pStyle w:val="7"/>
        <w:keepNext w:val="0"/>
        <w:keepLines w:val="0"/>
        <w:pageBreakBefore w:val="0"/>
        <w:widowControl w:val="0"/>
        <w:numPr>
          <w:ilvl w:val="1"/>
          <w:numId w:val="4"/>
        </w:numPr>
        <w:kinsoku/>
        <w:wordWrap/>
        <w:overflowPunct/>
        <w:topLinePunct w:val="0"/>
        <w:autoSpaceDE/>
        <w:autoSpaceDN/>
        <w:bidi w:val="0"/>
        <w:adjustRightInd/>
        <w:snapToGrid/>
        <w:spacing w:line="279" w:lineRule="auto"/>
        <w:textAlignment w:val="auto"/>
        <w:rPr>
          <w:rFonts w:hint="eastAsia" w:ascii="宋体" w:hAnsi="宋体" w:eastAsia="宋体" w:cs="宋体"/>
          <w:sz w:val="28"/>
          <w:szCs w:val="28"/>
        </w:rPr>
      </w:pPr>
      <w:r>
        <w:rPr>
          <w:rFonts w:hint="eastAsia" w:ascii="宋体" w:hAnsi="宋体" w:eastAsia="宋体" w:cs="宋体"/>
          <w:sz w:val="28"/>
          <w:szCs w:val="28"/>
        </w:rPr>
        <w:t>系统电源线、通信线缆全套</w:t>
      </w:r>
    </w:p>
    <w:p w14:paraId="42A3BE91">
      <w:pPr>
        <w:pStyle w:val="7"/>
        <w:keepNext w:val="0"/>
        <w:keepLines w:val="0"/>
        <w:pageBreakBefore w:val="0"/>
        <w:widowControl w:val="0"/>
        <w:numPr>
          <w:ilvl w:val="1"/>
          <w:numId w:val="4"/>
        </w:numPr>
        <w:kinsoku/>
        <w:wordWrap/>
        <w:overflowPunct/>
        <w:topLinePunct w:val="0"/>
        <w:autoSpaceDE/>
        <w:autoSpaceDN/>
        <w:bidi w:val="0"/>
        <w:adjustRightInd/>
        <w:snapToGrid/>
        <w:spacing w:line="279" w:lineRule="auto"/>
        <w:textAlignment w:val="auto"/>
        <w:rPr>
          <w:rFonts w:hint="eastAsia" w:ascii="宋体" w:hAnsi="宋体" w:eastAsia="宋体" w:cs="宋体"/>
          <w:sz w:val="28"/>
          <w:szCs w:val="28"/>
        </w:rPr>
      </w:pPr>
      <w:r>
        <w:rPr>
          <w:rFonts w:hint="eastAsia" w:ascii="宋体" w:hAnsi="宋体" w:eastAsia="宋体" w:cs="宋体"/>
          <w:sz w:val="28"/>
          <w:szCs w:val="28"/>
        </w:rPr>
        <w:t>操作手册、设备说明书、设备及配套耗材注册证复印件：1 套</w:t>
      </w:r>
    </w:p>
    <w:p w14:paraId="724F28DE">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lang w:eastAsia="zh-CN"/>
        </w:rPr>
      </w:pPr>
      <w:r>
        <w:rPr>
          <w:rFonts w:hint="eastAsia" w:ascii="宋体" w:hAnsi="宋体" w:eastAsia="宋体" w:cs="宋体"/>
          <w:b/>
          <w:bCs/>
          <w:sz w:val="28"/>
          <w:szCs w:val="28"/>
          <w:lang w:val="en-US" w:eastAsia="zh-CN"/>
        </w:rPr>
        <w:t>七、</w:t>
      </w:r>
      <w:r>
        <w:rPr>
          <w:rFonts w:hint="eastAsia" w:ascii="宋体" w:hAnsi="宋体" w:eastAsia="宋体" w:cs="宋体"/>
          <w:b/>
          <w:bCs/>
          <w:sz w:val="28"/>
          <w:szCs w:val="28"/>
        </w:rPr>
        <w:t>报价说明：</w:t>
      </w:r>
      <w:r>
        <w:rPr>
          <w:rFonts w:hint="eastAsia" w:ascii="宋体" w:hAnsi="宋体" w:eastAsia="宋体" w:cs="宋体"/>
          <w:sz w:val="28"/>
          <w:szCs w:val="28"/>
        </w:rPr>
        <w:t>报价为一次性报价，此报价为全费用包干：含人工、</w:t>
      </w:r>
      <w:r>
        <w:rPr>
          <w:rFonts w:hint="eastAsia" w:ascii="宋体" w:hAnsi="宋体" w:eastAsia="宋体" w:cs="宋体"/>
          <w:sz w:val="28"/>
          <w:szCs w:val="28"/>
          <w:lang w:val="en-US" w:eastAsia="zh-CN"/>
        </w:rPr>
        <w:t>配件、差旅、工具、检测、税费、运输、调试、验收、质保等完成本项目</w:t>
      </w:r>
      <w:r>
        <w:rPr>
          <w:rFonts w:hint="eastAsia" w:ascii="宋体" w:hAnsi="宋体" w:eastAsia="宋体" w:cs="宋体"/>
          <w:sz w:val="28"/>
          <w:szCs w:val="28"/>
        </w:rPr>
        <w:t>产生的全部费用</w:t>
      </w:r>
      <w:r>
        <w:rPr>
          <w:rFonts w:hint="eastAsia" w:ascii="宋体" w:hAnsi="宋体" w:eastAsia="宋体" w:cs="宋体"/>
          <w:sz w:val="28"/>
          <w:szCs w:val="28"/>
          <w:lang w:eastAsia="zh-CN"/>
        </w:rPr>
        <w:t>。</w:t>
      </w:r>
    </w:p>
    <w:p w14:paraId="086F35F5">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b/>
          <w:bCs/>
          <w:sz w:val="28"/>
          <w:szCs w:val="28"/>
        </w:rPr>
      </w:pPr>
      <w:r>
        <w:rPr>
          <w:rFonts w:hint="eastAsia" w:ascii="宋体" w:hAnsi="宋体" w:cs="宋体"/>
          <w:b/>
          <w:bCs/>
          <w:sz w:val="28"/>
          <w:szCs w:val="28"/>
          <w:lang w:val="en-US" w:eastAsia="zh-CN"/>
        </w:rPr>
        <w:t>八、</w:t>
      </w:r>
      <w:r>
        <w:rPr>
          <w:rFonts w:hint="eastAsia" w:ascii="宋体" w:hAnsi="宋体" w:eastAsia="宋体" w:cs="宋体"/>
          <w:b/>
          <w:bCs/>
          <w:sz w:val="28"/>
          <w:szCs w:val="28"/>
        </w:rPr>
        <w:t>供应商资格要求：</w:t>
      </w:r>
    </w:p>
    <w:p w14:paraId="2D75B9B8">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1、具有独立承担民事责任的能力；</w:t>
      </w:r>
    </w:p>
    <w:p w14:paraId="186286C9">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2、具有良好的商业信誉和健全的财务会计制度；</w:t>
      </w:r>
    </w:p>
    <w:p w14:paraId="16D996AD">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3、具有履行合同所必需的设备和专业技术能力；</w:t>
      </w:r>
    </w:p>
    <w:p w14:paraId="34763387">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4、有依法缴纳税收和社会保障资金的良好记录；</w:t>
      </w:r>
    </w:p>
    <w:p w14:paraId="35A3A33A">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5、参加采购活动前三年内，在经营活动中没有重大违法记录。</w:t>
      </w:r>
    </w:p>
    <w:p w14:paraId="579D80B1">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b/>
          <w:bCs/>
          <w:sz w:val="28"/>
          <w:szCs w:val="28"/>
        </w:rPr>
      </w:pPr>
      <w:r>
        <w:rPr>
          <w:rFonts w:hint="eastAsia" w:ascii="宋体" w:hAnsi="宋体" w:cs="宋体"/>
          <w:b/>
          <w:bCs/>
          <w:sz w:val="28"/>
          <w:szCs w:val="28"/>
          <w:lang w:val="en-US" w:eastAsia="zh-CN"/>
        </w:rPr>
        <w:t>九、</w:t>
      </w:r>
      <w:r>
        <w:rPr>
          <w:rFonts w:hint="eastAsia" w:ascii="宋体" w:hAnsi="宋体" w:eastAsia="宋体" w:cs="宋体"/>
          <w:b/>
          <w:bCs/>
          <w:sz w:val="28"/>
          <w:szCs w:val="28"/>
        </w:rPr>
        <w:t>需要提供的材料：</w:t>
      </w:r>
    </w:p>
    <w:p w14:paraId="61B9B219">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若供应商为制造商，提供加盖公章的《医疗器械生产许可证》复印件及所投产品对应的《医疗器械注册证》复印件；若供应商为代理商或经销商，需提供含本次采购货物类别的加盖公章的《医疗器械经营企业许可证》或《医疗器械经营备案凭证》复印件及所投产品对应的《医疗器械注册证》复印件、加盖公章的有效营业执照复印件、法定代表人身份证复印件或法定代表人委托授权书及代理人身份证复印件。</w:t>
      </w:r>
    </w:p>
    <w:p w14:paraId="356D5B25">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leftChars="0"/>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十</w:t>
      </w:r>
      <w:r>
        <w:rPr>
          <w:rFonts w:hint="eastAsia" w:ascii="宋体" w:hAnsi="宋体" w:eastAsia="宋体" w:cs="宋体"/>
          <w:b/>
          <w:bCs/>
          <w:sz w:val="28"/>
          <w:szCs w:val="28"/>
        </w:rPr>
        <w:t>、报名时间</w:t>
      </w:r>
      <w:r>
        <w:rPr>
          <w:rFonts w:hint="eastAsia" w:ascii="宋体" w:hAnsi="宋体" w:cs="宋体"/>
          <w:b/>
          <w:bCs/>
          <w:sz w:val="28"/>
          <w:szCs w:val="28"/>
          <w:lang w:eastAsia="zh-CN"/>
        </w:rPr>
        <w:t>、</w:t>
      </w:r>
      <w:r>
        <w:rPr>
          <w:rFonts w:hint="eastAsia" w:ascii="宋体" w:hAnsi="宋体" w:eastAsia="宋体" w:cs="宋体"/>
          <w:b/>
          <w:bCs/>
          <w:sz w:val="28"/>
          <w:szCs w:val="28"/>
        </w:rPr>
        <w:t>地点</w:t>
      </w:r>
      <w:r>
        <w:rPr>
          <w:rFonts w:hint="eastAsia" w:ascii="宋体" w:hAnsi="宋体" w:cs="宋体"/>
          <w:b/>
          <w:bCs/>
          <w:sz w:val="28"/>
          <w:szCs w:val="28"/>
          <w:lang w:val="en-US" w:eastAsia="zh-CN"/>
        </w:rPr>
        <w:t>及联系方式</w:t>
      </w:r>
      <w:r>
        <w:rPr>
          <w:rFonts w:hint="eastAsia" w:ascii="宋体" w:hAnsi="宋体" w:eastAsia="宋体" w:cs="宋体"/>
          <w:b/>
          <w:bCs/>
          <w:sz w:val="28"/>
          <w:szCs w:val="28"/>
        </w:rPr>
        <w:t>：</w:t>
      </w:r>
    </w:p>
    <w:p w14:paraId="24BBA03B">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请于2026年11月04日8：00至2026</w:t>
      </w:r>
      <w:r>
        <w:rPr>
          <w:rFonts w:hint="eastAsia" w:ascii="宋体" w:hAnsi="宋体" w:eastAsia="宋体" w:cs="宋体"/>
          <w:sz w:val="28"/>
          <w:szCs w:val="28"/>
        </w:rPr>
        <w:t>年</w:t>
      </w:r>
      <w:r>
        <w:rPr>
          <w:rFonts w:hint="eastAsia" w:ascii="宋体" w:hAnsi="宋体" w:eastAsia="宋体" w:cs="宋体"/>
          <w:sz w:val="28"/>
          <w:szCs w:val="28"/>
          <w:lang w:val="en-US" w:eastAsia="zh-CN"/>
        </w:rPr>
        <w:t>11</w:t>
      </w:r>
      <w:r>
        <w:rPr>
          <w:rFonts w:hint="eastAsia" w:ascii="宋体" w:hAnsi="宋体" w:eastAsia="宋体" w:cs="宋体"/>
          <w:sz w:val="28"/>
          <w:szCs w:val="28"/>
        </w:rPr>
        <w:t>月</w:t>
      </w:r>
      <w:r>
        <w:rPr>
          <w:rFonts w:hint="eastAsia" w:ascii="宋体" w:hAnsi="宋体" w:eastAsia="宋体" w:cs="宋体"/>
          <w:sz w:val="28"/>
          <w:szCs w:val="28"/>
          <w:lang w:val="en-US" w:eastAsia="zh-CN"/>
        </w:rPr>
        <w:t>06</w:t>
      </w:r>
      <w:r>
        <w:rPr>
          <w:rFonts w:hint="eastAsia" w:ascii="宋体" w:hAnsi="宋体" w:eastAsia="宋体" w:cs="宋体"/>
          <w:sz w:val="28"/>
          <w:szCs w:val="28"/>
        </w:rPr>
        <w:t>日17：</w:t>
      </w:r>
      <w:r>
        <w:rPr>
          <w:rFonts w:hint="eastAsia" w:ascii="宋体" w:hAnsi="宋体" w:eastAsia="宋体" w:cs="宋体"/>
          <w:sz w:val="28"/>
          <w:szCs w:val="28"/>
          <w:lang w:val="en-US" w:eastAsia="zh-CN"/>
        </w:rPr>
        <w:t>0</w:t>
      </w:r>
      <w:r>
        <w:rPr>
          <w:rFonts w:hint="eastAsia" w:ascii="宋体" w:hAnsi="宋体" w:eastAsia="宋体" w:cs="宋体"/>
          <w:sz w:val="28"/>
          <w:szCs w:val="28"/>
        </w:rPr>
        <w:t>0到聊城市退役军人医院门诊楼四楼财务科报名。</w:t>
      </w:r>
      <w:r>
        <w:rPr>
          <w:rFonts w:hint="eastAsia" w:ascii="宋体" w:hAnsi="宋体" w:cs="宋体"/>
          <w:sz w:val="28"/>
          <w:szCs w:val="28"/>
          <w:lang w:eastAsia="zh-CN"/>
        </w:rPr>
        <w:t>（</w:t>
      </w:r>
      <w:r>
        <w:rPr>
          <w:rFonts w:hint="eastAsia" w:ascii="宋体" w:hAnsi="宋体" w:eastAsia="宋体" w:cs="宋体"/>
          <w:sz w:val="28"/>
          <w:szCs w:val="28"/>
          <w:lang w:val="en-US" w:eastAsia="zh-CN"/>
        </w:rPr>
        <w:t>0635-8344021  田科长</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0635-8344035 </w:t>
      </w:r>
      <w:r>
        <w:rPr>
          <w:rFonts w:hint="eastAsia" w:ascii="宋体" w:hAnsi="宋体" w:cs="宋体"/>
          <w:sz w:val="28"/>
          <w:szCs w:val="28"/>
          <w:lang w:val="en-US" w:eastAsia="zh-CN"/>
        </w:rPr>
        <w:t>王科长）</w:t>
      </w:r>
    </w:p>
    <w:p w14:paraId="513018B9">
      <w:pPr>
        <w:pStyle w:val="7"/>
        <w:keepNext w:val="0"/>
        <w:keepLines w:val="0"/>
        <w:pageBreakBefore w:val="0"/>
        <w:widowControl w:val="0"/>
        <w:numPr>
          <w:numId w:val="0"/>
        </w:numPr>
        <w:kinsoku/>
        <w:wordWrap/>
        <w:overflowPunct/>
        <w:topLinePunct w:val="0"/>
        <w:autoSpaceDE/>
        <w:autoSpaceDN/>
        <w:bidi w:val="0"/>
        <w:adjustRightInd/>
        <w:snapToGrid/>
        <w:spacing w:line="279" w:lineRule="auto"/>
        <w:ind w:firstLine="5880" w:firstLineChars="2100"/>
        <w:textAlignment w:val="auto"/>
        <w:rPr>
          <w:rFonts w:hint="default" w:ascii="宋体" w:hAnsi="宋体" w:eastAsia="宋体" w:cs="宋体"/>
          <w:sz w:val="28"/>
          <w:szCs w:val="28"/>
          <w:lang w:val="en-US" w:eastAsia="zh-CN"/>
        </w:rPr>
      </w:pPr>
      <w:bookmarkStart w:id="1" w:name="_GoBack"/>
      <w:bookmarkEnd w:id="1"/>
      <w:r>
        <w:rPr>
          <w:rFonts w:hint="eastAsia" w:ascii="宋体" w:hAnsi="宋体" w:eastAsia="宋体" w:cs="宋体"/>
          <w:sz w:val="28"/>
          <w:szCs w:val="28"/>
        </w:rPr>
        <w:t>2026年</w:t>
      </w:r>
      <w:r>
        <w:rPr>
          <w:rFonts w:hint="eastAsia" w:ascii="宋体" w:hAnsi="宋体" w:eastAsia="宋体" w:cs="宋体"/>
          <w:sz w:val="28"/>
          <w:szCs w:val="28"/>
          <w:lang w:val="en-US" w:eastAsia="zh-CN"/>
        </w:rPr>
        <w:t>11</w:t>
      </w:r>
      <w:r>
        <w:rPr>
          <w:rFonts w:hint="eastAsia" w:ascii="宋体" w:hAnsi="宋体" w:eastAsia="宋体" w:cs="宋体"/>
          <w:sz w:val="28"/>
          <w:szCs w:val="28"/>
        </w:rPr>
        <w:t>月</w:t>
      </w:r>
      <w:r>
        <w:rPr>
          <w:rFonts w:hint="eastAsia" w:ascii="宋体" w:hAnsi="宋体" w:eastAsia="宋体" w:cs="宋体"/>
          <w:sz w:val="28"/>
          <w:szCs w:val="28"/>
          <w:lang w:val="en-US" w:eastAsia="zh-CN"/>
        </w:rPr>
        <w:t>03</w:t>
      </w:r>
      <w:r>
        <w:rPr>
          <w:rFonts w:hint="eastAsia" w:ascii="宋体" w:hAnsi="宋体" w:cs="宋体"/>
          <w:sz w:val="28"/>
          <w:szCs w:val="28"/>
          <w:lang w:val="en-US" w:eastAsia="zh-CN"/>
        </w:rPr>
        <w:t>日</w:t>
      </w:r>
    </w:p>
    <w:p w14:paraId="6DA6EB1E">
      <w:pPr>
        <w:pStyle w:val="7"/>
        <w:keepNext w:val="0"/>
        <w:keepLines w:val="0"/>
        <w:pageBreakBefore w:val="0"/>
        <w:widowControl w:val="0"/>
        <w:numPr>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rPr>
      </w:pPr>
      <w:r>
        <w:rPr>
          <w:rFonts w:hint="eastAsia" w:ascii="宋体" w:hAnsi="宋体" w:eastAsia="宋体" w:cs="宋体"/>
          <w:b/>
          <w:sz w:val="52"/>
          <w:szCs w:val="52"/>
          <w:lang w:val="en-US" w:eastAsia="zh-CN"/>
        </w:rPr>
        <w:t>报</w:t>
      </w:r>
      <w:r>
        <w:rPr>
          <w:rFonts w:hint="eastAsia" w:ascii="宋体" w:hAnsi="宋体" w:eastAsia="宋体" w:cs="宋体"/>
          <w:b/>
          <w:sz w:val="52"/>
          <w:szCs w:val="52"/>
        </w:rPr>
        <w:t>价函</w:t>
      </w:r>
    </w:p>
    <w:p w14:paraId="29B9E0BF">
      <w:pPr>
        <w:numPr>
          <w:numId w:val="0"/>
        </w:numPr>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聊城市退役军人医院</w:t>
      </w:r>
      <w:r>
        <w:rPr>
          <w:rFonts w:hint="eastAsia" w:ascii="宋体" w:hAnsi="宋体" w:eastAsia="宋体" w:cs="宋体"/>
          <w:color w:val="000000" w:themeColor="text1"/>
          <w:sz w:val="28"/>
          <w:szCs w:val="28"/>
          <w:lang w:val="en-US" w:eastAsia="zh-CN"/>
          <w14:textFill>
            <w14:solidFill>
              <w14:schemeClr w14:val="tx1"/>
            </w14:solidFill>
          </w14:textFill>
        </w:rPr>
        <w:t>射频消融专用设备租赁及耗材配送</w:t>
      </w:r>
      <w:r>
        <w:rPr>
          <w:rFonts w:hint="eastAsia" w:ascii="宋体" w:hAnsi="宋体" w:eastAsia="宋体" w:cs="宋体"/>
          <w:color w:val="000000" w:themeColor="text1"/>
          <w:sz w:val="28"/>
          <w:szCs w:val="28"/>
          <w14:textFill>
            <w14:solidFill>
              <w14:schemeClr w14:val="tx1"/>
            </w14:solidFill>
          </w14:textFill>
        </w:rPr>
        <w:t>采购项目</w:t>
      </w:r>
    </w:p>
    <w:p w14:paraId="35BC4850">
      <w:pPr>
        <w:spacing w:line="480" w:lineRule="exact"/>
        <w:rPr>
          <w:rFonts w:hint="eastAsia" w:ascii="宋体" w:hAnsi="宋体" w:eastAsia="宋体" w:cs="宋体"/>
          <w:b/>
          <w:bCs/>
          <w:color w:val="000000" w:themeColor="text1"/>
          <w:sz w:val="28"/>
          <w:szCs w:val="28"/>
          <w14:textFill>
            <w14:solidFill>
              <w14:schemeClr w14:val="tx1"/>
            </w14:solidFill>
          </w14:textFill>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1"/>
        <w:gridCol w:w="5551"/>
      </w:tblGrid>
      <w:tr w14:paraId="0F3F7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9" w:hRule="atLeast"/>
        </w:trPr>
        <w:tc>
          <w:tcPr>
            <w:tcW w:w="2971" w:type="dxa"/>
            <w:vAlign w:val="center"/>
          </w:tcPr>
          <w:p w14:paraId="1A15A9AC">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最终报价（元）</w:t>
            </w:r>
          </w:p>
        </w:tc>
        <w:tc>
          <w:tcPr>
            <w:tcW w:w="5551" w:type="dxa"/>
          </w:tcPr>
          <w:p w14:paraId="4C1ADBBD">
            <w:pPr>
              <w:spacing w:line="480" w:lineRule="exact"/>
              <w:jc w:val="left"/>
              <w:rPr>
                <w:rFonts w:hint="eastAsia" w:ascii="宋体" w:hAnsi="宋体" w:eastAsia="宋体" w:cs="宋体"/>
                <w:sz w:val="28"/>
                <w:szCs w:val="28"/>
                <w:u w:val="single"/>
              </w:rPr>
            </w:pPr>
            <w:r>
              <w:rPr>
                <w:rFonts w:hint="eastAsia" w:ascii="宋体" w:hAnsi="宋体" w:eastAsia="宋体" w:cs="宋体"/>
                <w:sz w:val="28"/>
                <w:szCs w:val="28"/>
              </w:rPr>
              <w:t>大写：</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3D6CBA9A">
            <w:pPr>
              <w:spacing w:line="480" w:lineRule="exact"/>
              <w:jc w:val="left"/>
              <w:rPr>
                <w:rFonts w:hint="eastAsia" w:ascii="宋体" w:hAnsi="宋体" w:eastAsia="宋体" w:cs="宋体"/>
                <w:sz w:val="28"/>
                <w:szCs w:val="28"/>
              </w:rPr>
            </w:pPr>
            <w:r>
              <w:rPr>
                <w:rFonts w:hint="eastAsia" w:ascii="宋体" w:hAnsi="宋体" w:eastAsia="宋体" w:cs="宋体"/>
                <w:sz w:val="28"/>
                <w:szCs w:val="28"/>
              </w:rPr>
              <w:t>小写：</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tc>
      </w:tr>
      <w:tr w14:paraId="65FFC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2971" w:type="dxa"/>
            <w:vAlign w:val="center"/>
          </w:tcPr>
          <w:p w14:paraId="0FD44DB0">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质保期</w:t>
            </w:r>
          </w:p>
        </w:tc>
        <w:tc>
          <w:tcPr>
            <w:tcW w:w="5551" w:type="dxa"/>
          </w:tcPr>
          <w:p w14:paraId="5EB522AA">
            <w:pPr>
              <w:spacing w:line="480" w:lineRule="exact"/>
              <w:jc w:val="lef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tc>
      </w:tr>
      <w:tr w14:paraId="2CFB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2971" w:type="dxa"/>
            <w:vAlign w:val="center"/>
          </w:tcPr>
          <w:p w14:paraId="20EC67A1">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交付期</w:t>
            </w:r>
          </w:p>
        </w:tc>
        <w:tc>
          <w:tcPr>
            <w:tcW w:w="5551" w:type="dxa"/>
          </w:tcPr>
          <w:p w14:paraId="285055E5">
            <w:pPr>
              <w:spacing w:line="480" w:lineRule="exact"/>
              <w:jc w:val="left"/>
              <w:rPr>
                <w:rFonts w:hint="eastAsia" w:ascii="宋体" w:hAnsi="宋体" w:eastAsia="宋体" w:cs="宋体"/>
                <w:sz w:val="28"/>
                <w:szCs w:val="28"/>
              </w:rPr>
            </w:pPr>
            <w:r>
              <w:rPr>
                <w:rFonts w:hint="eastAsia" w:ascii="宋体" w:hAnsi="宋体" w:eastAsia="宋体" w:cs="宋体"/>
                <w:sz w:val="28"/>
                <w:szCs w:val="28"/>
              </w:rPr>
              <w:t>合同生效后</w:t>
            </w:r>
            <w:r>
              <w:rPr>
                <w:rFonts w:hint="eastAsia" w:ascii="宋体" w:hAnsi="宋体" w:eastAsia="宋体" w:cs="宋体"/>
                <w:sz w:val="28"/>
                <w:szCs w:val="28"/>
                <w:u w:val="single"/>
              </w:rPr>
              <w:t xml:space="preserve">     </w:t>
            </w:r>
            <w:r>
              <w:rPr>
                <w:rFonts w:hint="eastAsia" w:ascii="宋体" w:hAnsi="宋体" w:eastAsia="宋体" w:cs="宋体"/>
                <w:sz w:val="28"/>
                <w:szCs w:val="28"/>
              </w:rPr>
              <w:t>天</w:t>
            </w:r>
          </w:p>
        </w:tc>
      </w:tr>
      <w:tr w14:paraId="41CE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2971" w:type="dxa"/>
            <w:vAlign w:val="center"/>
          </w:tcPr>
          <w:p w14:paraId="58C5EA59">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售后服务</w:t>
            </w:r>
          </w:p>
        </w:tc>
        <w:tc>
          <w:tcPr>
            <w:tcW w:w="5551" w:type="dxa"/>
          </w:tcPr>
          <w:p w14:paraId="3BBC4C79">
            <w:pPr>
              <w:spacing w:line="480" w:lineRule="exact"/>
              <w:jc w:val="left"/>
              <w:rPr>
                <w:rFonts w:hint="eastAsia" w:ascii="宋体" w:hAnsi="宋体" w:eastAsia="宋体" w:cs="宋体"/>
                <w:sz w:val="28"/>
                <w:szCs w:val="28"/>
              </w:rPr>
            </w:pPr>
            <w:r>
              <w:rPr>
                <w:rFonts w:hint="eastAsia" w:ascii="宋体" w:hAnsi="宋体" w:eastAsia="宋体" w:cs="宋体"/>
                <w:sz w:val="28"/>
                <w:szCs w:val="28"/>
              </w:rPr>
              <w:t>出现质量问题接到买方通知后到达现场的时间</w:t>
            </w:r>
            <w:r>
              <w:rPr>
                <w:rFonts w:hint="eastAsia" w:ascii="宋体" w:hAnsi="宋体" w:eastAsia="宋体" w:cs="宋体"/>
                <w:sz w:val="28"/>
                <w:szCs w:val="28"/>
                <w:u w:val="single"/>
              </w:rPr>
              <w:t xml:space="preserve">      </w:t>
            </w:r>
            <w:r>
              <w:rPr>
                <w:rFonts w:hint="eastAsia" w:ascii="宋体" w:hAnsi="宋体" w:eastAsia="宋体" w:cs="宋体"/>
                <w:sz w:val="28"/>
                <w:szCs w:val="28"/>
              </w:rPr>
              <w:t>小时</w:t>
            </w:r>
          </w:p>
        </w:tc>
      </w:tr>
      <w:tr w14:paraId="2F30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4" w:hRule="atLeast"/>
        </w:trPr>
        <w:tc>
          <w:tcPr>
            <w:tcW w:w="2971" w:type="dxa"/>
            <w:vAlign w:val="center"/>
          </w:tcPr>
          <w:p w14:paraId="2B019D0C">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需要澄清的其他内容</w:t>
            </w:r>
          </w:p>
        </w:tc>
        <w:tc>
          <w:tcPr>
            <w:tcW w:w="5551" w:type="dxa"/>
          </w:tcPr>
          <w:p w14:paraId="77F28DA1">
            <w:pPr>
              <w:spacing w:line="480" w:lineRule="exact"/>
              <w:jc w:val="left"/>
              <w:rPr>
                <w:rFonts w:hint="eastAsia" w:ascii="宋体" w:hAnsi="宋体" w:eastAsia="宋体" w:cs="宋体"/>
                <w:sz w:val="28"/>
                <w:szCs w:val="28"/>
              </w:rPr>
            </w:pPr>
          </w:p>
        </w:tc>
      </w:tr>
    </w:tbl>
    <w:p w14:paraId="698C740C">
      <w:pPr>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p>
    <w:p w14:paraId="4C4CE47F">
      <w:pPr>
        <w:spacing w:line="480" w:lineRule="exact"/>
        <w:ind w:firstLine="4200" w:firstLineChars="1500"/>
        <w:rPr>
          <w:rFonts w:hint="eastAsia" w:ascii="宋体" w:hAnsi="宋体" w:eastAsia="宋体" w:cs="宋体"/>
          <w:sz w:val="28"/>
          <w:szCs w:val="28"/>
        </w:rPr>
      </w:pPr>
      <w:r>
        <w:rPr>
          <w:rFonts w:hint="eastAsia" w:ascii="宋体" w:hAnsi="宋体" w:eastAsia="宋体" w:cs="宋体"/>
          <w:sz w:val="28"/>
          <w:szCs w:val="28"/>
        </w:rPr>
        <w:t xml:space="preserve">企 业 名 称：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3CE6CACE">
      <w:pPr>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法人或</w:t>
      </w:r>
      <w:r>
        <w:rPr>
          <w:rFonts w:hint="eastAsia" w:ascii="宋体" w:hAnsi="宋体" w:eastAsia="宋体" w:cs="宋体"/>
          <w:sz w:val="28"/>
          <w:szCs w:val="28"/>
        </w:rPr>
        <w:t>授权代表签字：</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7CFF2589">
      <w:pPr>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p>
    <w:p w14:paraId="634FFDC4">
      <w:pPr>
        <w:spacing w:line="480" w:lineRule="exact"/>
        <w:ind w:firstLine="280" w:firstLineChars="100"/>
        <w:jc w:val="left"/>
        <w:rPr>
          <w:rFonts w:hint="eastAsia" w:ascii="宋体" w:hAnsi="宋体" w:eastAsia="宋体" w:cs="宋体"/>
          <w:sz w:val="28"/>
          <w:szCs w:val="28"/>
          <w:lang w:val="en-US"/>
        </w:rPr>
      </w:pPr>
      <w:r>
        <w:rPr>
          <w:rFonts w:hint="eastAsia" w:ascii="宋体" w:hAnsi="宋体" w:eastAsia="宋体" w:cs="宋体"/>
          <w:sz w:val="28"/>
          <w:szCs w:val="28"/>
        </w:rPr>
        <w:t xml:space="preserve">                                 日期：202</w:t>
      </w:r>
      <w:r>
        <w:rPr>
          <w:rFonts w:hint="eastAsia" w:ascii="宋体" w:hAnsi="宋体" w:eastAsia="宋体" w:cs="宋体"/>
          <w:sz w:val="28"/>
          <w:szCs w:val="28"/>
          <w:lang w:val="en-US" w:eastAsia="zh-CN"/>
        </w:rPr>
        <w:t>6</w:t>
      </w:r>
      <w:r>
        <w:rPr>
          <w:rFonts w:hint="eastAsia" w:ascii="宋体" w:hAnsi="宋体" w:eastAsia="宋体" w:cs="宋体"/>
          <w:sz w:val="28"/>
          <w:szCs w:val="28"/>
        </w:rPr>
        <w:t xml:space="preserve">年 </w:t>
      </w:r>
      <w:r>
        <w:rPr>
          <w:rFonts w:hint="eastAsia" w:ascii="宋体" w:hAnsi="宋体" w:eastAsia="宋体" w:cs="宋体"/>
          <w:sz w:val="28"/>
          <w:szCs w:val="28"/>
          <w:lang w:val="en-US" w:eastAsia="zh-CN"/>
        </w:rPr>
        <w:t>11月 03日</w:t>
      </w:r>
    </w:p>
    <w:p w14:paraId="0EC731EE">
      <w:pPr>
        <w:spacing w:line="480" w:lineRule="exact"/>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80F53B"/>
    <w:multiLevelType w:val="singleLevel"/>
    <w:tmpl w:val="D080F53B"/>
    <w:lvl w:ilvl="0" w:tentative="0">
      <w:start w:val="1"/>
      <w:numFmt w:val="chineseCounting"/>
      <w:suff w:val="nothing"/>
      <w:lvlText w:val="%1、"/>
      <w:lvlJc w:val="left"/>
      <w:rPr>
        <w:rFonts w:hint="eastAsia"/>
      </w:rPr>
    </w:lvl>
  </w:abstractNum>
  <w:abstractNum w:abstractNumId="1">
    <w:nsid w:val="282C4CC4"/>
    <w:multiLevelType w:val="multilevel"/>
    <w:tmpl w:val="282C4CC4"/>
    <w:lvl w:ilvl="0" w:tentative="0">
      <w:start w:val="1"/>
      <w:numFmt w:val="decimal"/>
      <w:lvlText w:val="%1、"/>
      <w:lvlJc w:val="left"/>
      <w:pPr>
        <w:ind w:left="890" w:hanging="440"/>
      </w:pPr>
      <w:rPr>
        <w:rFonts w:hint="default"/>
      </w:rPr>
    </w:lvl>
    <w:lvl w:ilvl="1" w:tentative="0">
      <w:start w:val="1"/>
      <w:numFmt w:val="lowerLetter"/>
      <w:lvlText w:val="%2)"/>
      <w:lvlJc w:val="left"/>
      <w:pPr>
        <w:ind w:left="1330" w:hanging="440"/>
      </w:pPr>
    </w:lvl>
    <w:lvl w:ilvl="2" w:tentative="0">
      <w:start w:val="1"/>
      <w:numFmt w:val="lowerRoman"/>
      <w:lvlText w:val="%3."/>
      <w:lvlJc w:val="right"/>
      <w:pPr>
        <w:ind w:left="1770" w:hanging="440"/>
      </w:pPr>
    </w:lvl>
    <w:lvl w:ilvl="3" w:tentative="0">
      <w:start w:val="1"/>
      <w:numFmt w:val="decimal"/>
      <w:lvlText w:val="%4."/>
      <w:lvlJc w:val="left"/>
      <w:pPr>
        <w:ind w:left="2210" w:hanging="440"/>
      </w:pPr>
    </w:lvl>
    <w:lvl w:ilvl="4" w:tentative="0">
      <w:start w:val="1"/>
      <w:numFmt w:val="lowerLetter"/>
      <w:lvlText w:val="%5)"/>
      <w:lvlJc w:val="left"/>
      <w:pPr>
        <w:ind w:left="2650" w:hanging="440"/>
      </w:pPr>
    </w:lvl>
    <w:lvl w:ilvl="5" w:tentative="0">
      <w:start w:val="1"/>
      <w:numFmt w:val="lowerRoman"/>
      <w:lvlText w:val="%6."/>
      <w:lvlJc w:val="right"/>
      <w:pPr>
        <w:ind w:left="3090" w:hanging="440"/>
      </w:pPr>
    </w:lvl>
    <w:lvl w:ilvl="6" w:tentative="0">
      <w:start w:val="1"/>
      <w:numFmt w:val="decimal"/>
      <w:lvlText w:val="%7."/>
      <w:lvlJc w:val="left"/>
      <w:pPr>
        <w:ind w:left="3530" w:hanging="440"/>
      </w:pPr>
    </w:lvl>
    <w:lvl w:ilvl="7" w:tentative="0">
      <w:start w:val="1"/>
      <w:numFmt w:val="lowerLetter"/>
      <w:lvlText w:val="%8)"/>
      <w:lvlJc w:val="left"/>
      <w:pPr>
        <w:ind w:left="3970" w:hanging="440"/>
      </w:pPr>
    </w:lvl>
    <w:lvl w:ilvl="8" w:tentative="0">
      <w:start w:val="1"/>
      <w:numFmt w:val="lowerRoman"/>
      <w:lvlText w:val="%9."/>
      <w:lvlJc w:val="right"/>
      <w:pPr>
        <w:ind w:left="4410" w:hanging="440"/>
      </w:pPr>
    </w:lvl>
  </w:abstractNum>
  <w:abstractNum w:abstractNumId="2">
    <w:nsid w:val="504A7103"/>
    <w:multiLevelType w:val="multilevel"/>
    <w:tmpl w:val="504A7103"/>
    <w:lvl w:ilvl="0" w:tentative="0">
      <w:start w:val="1"/>
      <w:numFmt w:val="japaneseCounting"/>
      <w:lvlText w:val="%1、"/>
      <w:lvlJc w:val="left"/>
      <w:pPr>
        <w:ind w:left="450" w:hanging="450"/>
      </w:pPr>
      <w:rPr>
        <w:rFonts w:hint="default"/>
      </w:rPr>
    </w:lvl>
    <w:lvl w:ilvl="1" w:tentative="0">
      <w:start w:val="1"/>
      <w:numFmt w:val="decimal"/>
      <w:suff w:val="space"/>
      <w:lvlText w:val="%2、"/>
      <w:lvlJc w:val="left"/>
      <w:pPr>
        <w:ind w:left="440" w:hanging="44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575179FF"/>
    <w:multiLevelType w:val="multilevel"/>
    <w:tmpl w:val="575179FF"/>
    <w:lvl w:ilvl="0" w:tentative="0">
      <w:start w:val="1"/>
      <w:numFmt w:val="decimal"/>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D3E"/>
    <w:rsid w:val="003730B7"/>
    <w:rsid w:val="005F2DAA"/>
    <w:rsid w:val="006D4F48"/>
    <w:rsid w:val="00943752"/>
    <w:rsid w:val="009D57B6"/>
    <w:rsid w:val="00A00D3E"/>
    <w:rsid w:val="00A3355D"/>
    <w:rsid w:val="00AB37DD"/>
    <w:rsid w:val="00B53A24"/>
    <w:rsid w:val="00C21EE1"/>
    <w:rsid w:val="00FE44A5"/>
    <w:rsid w:val="08B749CB"/>
    <w:rsid w:val="08EC0C19"/>
    <w:rsid w:val="162177DE"/>
    <w:rsid w:val="183A72AB"/>
    <w:rsid w:val="19AF3CC9"/>
    <w:rsid w:val="1A7D5B75"/>
    <w:rsid w:val="1B667572"/>
    <w:rsid w:val="22CA31D8"/>
    <w:rsid w:val="24D40A88"/>
    <w:rsid w:val="2982675C"/>
    <w:rsid w:val="29FF0355"/>
    <w:rsid w:val="2A110088"/>
    <w:rsid w:val="2DD83397"/>
    <w:rsid w:val="30941CA8"/>
    <w:rsid w:val="3C591B47"/>
    <w:rsid w:val="3E86299B"/>
    <w:rsid w:val="46D15CF5"/>
    <w:rsid w:val="4FDF015D"/>
    <w:rsid w:val="526360EB"/>
    <w:rsid w:val="55480552"/>
    <w:rsid w:val="57C71C02"/>
    <w:rsid w:val="5A6D177A"/>
    <w:rsid w:val="5AEB3E5A"/>
    <w:rsid w:val="601E4984"/>
    <w:rsid w:val="612C1218"/>
    <w:rsid w:val="62683FE2"/>
    <w:rsid w:val="64151F48"/>
    <w:rsid w:val="6D325918"/>
    <w:rsid w:val="70E92792"/>
    <w:rsid w:val="724D4B1E"/>
    <w:rsid w:val="7762504C"/>
    <w:rsid w:val="78442F5C"/>
    <w:rsid w:val="7D5B6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kern w:val="0"/>
      <w:sz w:val="24"/>
    </w:rPr>
  </w:style>
  <w:style w:type="character" w:styleId="5">
    <w:name w:val="Strong"/>
    <w:basedOn w:val="4"/>
    <w:qFormat/>
    <w:uiPriority w:val="0"/>
    <w:rPr>
      <w:b/>
    </w:rPr>
  </w:style>
  <w:style w:type="character" w:customStyle="1" w:styleId="6">
    <w:name w:val="NormalCharacter"/>
    <w:autoRedefine/>
    <w:qFormat/>
    <w:uiPriority w:val="99"/>
    <w:rPr>
      <w:rFonts w:ascii="Times New Roman" w:hAnsi="Times New Roman" w:eastAsia="宋体"/>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541</Words>
  <Characters>570</Characters>
  <Lines>9</Lines>
  <Paragraphs>2</Paragraphs>
  <TotalTime>16</TotalTime>
  <ScaleCrop>false</ScaleCrop>
  <LinksUpToDate>false</LinksUpToDate>
  <CharactersWithSpaces>575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2026-10-27T06:09:00Z</dcterms:created>
  <dc:creator>琰 王</dc:creator>
  <cp:lastModifiedBy>静</cp:lastModifiedBy>
  <cp:lastPrinted>2025-01-07T07:43:00Z</cp:lastPrinted>
  <dcterms:modified xsi:type="dcterms:W3CDTF">2026-11-03T03:50:04Z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eyJoZGlkIjoiMjBiYTU0NTBiZWEyOWM0MTEwNzQxMzFlZDljYzhmNjgiLCJ1c2VySWQiOiI4NjU1MzEwMzYifQ==</vt:lpwstr>
  </property>
  <property fmtid="{D5CDD505-2E9C-101B-9397-08002B2CF9AE}" pid="3" name="KSOProductBuildVer">
    <vt:lpwstr>2052-12.1.0.29161</vt:lpwstr>
  </property>
  <property fmtid="{D5CDD505-2E9C-101B-9397-08002B2CF9AE}" pid="4" name="ICV">
    <vt:lpwstr>E980C2403C0B4882BD6DFE900D84D4CF_12</vt:lpwstr>
  </property>
</Properties>
</file>